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F5C66" w14:textId="77777777" w:rsidR="00572881" w:rsidRDefault="00572881" w:rsidP="00572881">
      <w:pPr>
        <w:rPr>
          <w:b/>
          <w:bCs/>
        </w:rPr>
      </w:pPr>
      <w:r>
        <w:rPr>
          <w:b/>
          <w:bCs/>
        </w:rPr>
        <w:t>LOGOS</w:t>
      </w:r>
    </w:p>
    <w:p w14:paraId="4CF8AF7D" w14:textId="77777777" w:rsidR="00572881" w:rsidRDefault="00572881" w:rsidP="00572881">
      <w:pPr>
        <w:rPr>
          <w:b/>
          <w:bCs/>
        </w:rPr>
      </w:pPr>
    </w:p>
    <w:p w14:paraId="7B7120C1" w14:textId="77777777" w:rsidR="00572881" w:rsidRDefault="00572881" w:rsidP="00572881">
      <w:pPr>
        <w:jc w:val="right"/>
        <w:rPr>
          <w:b/>
          <w:bCs/>
        </w:rPr>
      </w:pPr>
      <w:r>
        <w:rPr>
          <w:b/>
          <w:bCs/>
        </w:rPr>
        <w:t>Brussels, (date)</w:t>
      </w:r>
    </w:p>
    <w:p w14:paraId="3E027DDB" w14:textId="77777777" w:rsidR="003E0FE6" w:rsidRDefault="003E0FE6" w:rsidP="00572881">
      <w:pPr>
        <w:jc w:val="right"/>
        <w:rPr>
          <w:b/>
          <w:bCs/>
        </w:rPr>
      </w:pPr>
    </w:p>
    <w:p w14:paraId="00A30A36" w14:textId="77777777" w:rsidR="00572881" w:rsidRPr="00572881" w:rsidRDefault="00572881" w:rsidP="003E0FE6">
      <w:pPr>
        <w:jc w:val="center"/>
        <w:rPr>
          <w:b/>
          <w:bCs/>
        </w:rPr>
      </w:pPr>
      <w:r w:rsidRPr="00572881">
        <w:rPr>
          <w:b/>
          <w:bCs/>
        </w:rPr>
        <w:t xml:space="preserve">Joint Statement on </w:t>
      </w:r>
      <w:r w:rsidR="00B41415">
        <w:rPr>
          <w:b/>
          <w:bCs/>
        </w:rPr>
        <w:t>p</w:t>
      </w:r>
      <w:r w:rsidRPr="00572881">
        <w:rPr>
          <w:b/>
          <w:bCs/>
        </w:rPr>
        <w:t xml:space="preserve">rotecting </w:t>
      </w:r>
      <w:r w:rsidR="00B41415">
        <w:rPr>
          <w:b/>
          <w:bCs/>
        </w:rPr>
        <w:t>p</w:t>
      </w:r>
      <w:r w:rsidRPr="00572881">
        <w:rPr>
          <w:b/>
          <w:bCs/>
        </w:rPr>
        <w:t xml:space="preserve">atient </w:t>
      </w:r>
      <w:r w:rsidR="00B41415">
        <w:rPr>
          <w:b/>
          <w:bCs/>
        </w:rPr>
        <w:t>d</w:t>
      </w:r>
      <w:r w:rsidRPr="00572881">
        <w:rPr>
          <w:b/>
          <w:bCs/>
        </w:rPr>
        <w:t>ata in the Digital Omnibus</w:t>
      </w:r>
    </w:p>
    <w:p w14:paraId="09CB7052" w14:textId="3F49972D" w:rsidR="00572881" w:rsidRPr="00572881" w:rsidRDefault="00EC6187" w:rsidP="00B32BD7">
      <w:pPr>
        <w:jc w:val="both"/>
      </w:pPr>
      <w:proofErr w:type="spellStart"/>
      <w:r w:rsidRPr="00A128F8">
        <w:t>Europan</w:t>
      </w:r>
      <w:proofErr w:type="spellEnd"/>
      <w:r w:rsidRPr="00A128F8">
        <w:t xml:space="preserve"> </w:t>
      </w:r>
      <w:proofErr w:type="spellStart"/>
      <w:r w:rsidRPr="00A128F8">
        <w:t>organisations</w:t>
      </w:r>
      <w:proofErr w:type="spellEnd"/>
      <w:r w:rsidRPr="00A128F8">
        <w:t xml:space="preserve"> representing</w:t>
      </w:r>
      <w:r w:rsidR="00A128F8">
        <w:t xml:space="preserve"> patients,</w:t>
      </w:r>
      <w:r w:rsidR="00F56B4C">
        <w:t xml:space="preserve"> </w:t>
      </w:r>
      <w:r w:rsidR="00A128F8">
        <w:t>d</w:t>
      </w:r>
      <w:r w:rsidR="00572881" w:rsidRPr="00A128F8">
        <w:t xml:space="preserve">octors, </w:t>
      </w:r>
      <w:r w:rsidR="0072491B">
        <w:t xml:space="preserve">dentists, </w:t>
      </w:r>
      <w:r w:rsidR="00572881" w:rsidRPr="00A128F8">
        <w:t>nurses</w:t>
      </w:r>
      <w:r w:rsidR="00A128F8">
        <w:t>,</w:t>
      </w:r>
      <w:r w:rsidR="00572881" w:rsidRPr="00A128F8">
        <w:t xml:space="preserve"> community and hospital pharmacists, hospitals and healthcare services, consumers, older people, health insurance funds and not-for-profit health mutuals</w:t>
      </w:r>
      <w:r w:rsidR="00572881">
        <w:t xml:space="preserve"> (</w:t>
      </w:r>
      <w:r w:rsidR="00572881" w:rsidRPr="00A128F8">
        <w:rPr>
          <w:i/>
          <w:iCs/>
        </w:rPr>
        <w:t xml:space="preserve">to be adapted </w:t>
      </w:r>
      <w:r w:rsidR="00E30E24" w:rsidRPr="00A128F8">
        <w:rPr>
          <w:i/>
          <w:iCs/>
        </w:rPr>
        <w:t>depending</w:t>
      </w:r>
      <w:r w:rsidR="00572881" w:rsidRPr="00A128F8">
        <w:rPr>
          <w:i/>
          <w:iCs/>
        </w:rPr>
        <w:t xml:space="preserve"> on the signatories)</w:t>
      </w:r>
      <w:r w:rsidR="00572881" w:rsidRPr="00572881">
        <w:t xml:space="preserve"> call on legislators to ensure that the Digital Omnibus does not weaken the protection of patients’ personal data.</w:t>
      </w:r>
    </w:p>
    <w:p w14:paraId="5CA09DD4" w14:textId="77777777" w:rsidR="00572881" w:rsidRPr="00572881" w:rsidRDefault="00572881" w:rsidP="00B32BD7">
      <w:pPr>
        <w:jc w:val="both"/>
      </w:pPr>
      <w:proofErr w:type="spellStart"/>
      <w:r w:rsidRPr="00572881">
        <w:t>Digitalisation</w:t>
      </w:r>
      <w:proofErr w:type="spellEnd"/>
      <w:r w:rsidRPr="00572881">
        <w:t xml:space="preserve"> can support better healthcare, safer medicines use, innovation and more accessible services. However, simplification must not come at the expense of fundamental rights, patient confidentiality, professional secrecy or trust in healthcare. Health-related data are among the most sensitive categories of personal data. They can reveal intimate information about a person’s physical or mental health, treatment, medicines use, disability, vulnerability or life circumstances. This includes not only data explicitly labelled as health data, but also data inferred from searches, purchases, online consultations, pharmacy interactions, use of </w:t>
      </w:r>
      <w:proofErr w:type="gramStart"/>
      <w:r w:rsidRPr="00572881">
        <w:t>medicines</w:t>
      </w:r>
      <w:proofErr w:type="gramEnd"/>
      <w:r w:rsidRPr="00572881">
        <w:t xml:space="preserve">-related websites, </w:t>
      </w:r>
      <w:r w:rsidR="00264138">
        <w:t xml:space="preserve">wearables, </w:t>
      </w:r>
      <w:r w:rsidRPr="00572881">
        <w:t>apps or connected services.</w:t>
      </w:r>
    </w:p>
    <w:p w14:paraId="18D3C185" w14:textId="77777777" w:rsidR="00572881" w:rsidRPr="00572881" w:rsidRDefault="00572881" w:rsidP="00B32BD7">
      <w:pPr>
        <w:jc w:val="both"/>
      </w:pPr>
      <w:r w:rsidRPr="00572881">
        <w:t>We call upon the co-legislators to:</w:t>
      </w:r>
    </w:p>
    <w:p w14:paraId="0EB3D1E7" w14:textId="77777777" w:rsidR="00572881" w:rsidRPr="003E0FE6" w:rsidRDefault="00572881" w:rsidP="003E0FE6">
      <w:pPr>
        <w:pStyle w:val="ListParagraph"/>
        <w:numPr>
          <w:ilvl w:val="0"/>
          <w:numId w:val="1"/>
        </w:numPr>
        <w:jc w:val="both"/>
        <w:rPr>
          <w:b/>
          <w:bCs/>
        </w:rPr>
      </w:pPr>
      <w:r w:rsidRPr="003E0FE6">
        <w:rPr>
          <w:b/>
          <w:bCs/>
        </w:rPr>
        <w:t>Preserve the specific protection of health data in the digital environment</w:t>
      </w:r>
    </w:p>
    <w:p w14:paraId="50C925D9" w14:textId="77777777" w:rsidR="00F56B4C" w:rsidRDefault="00AC1474" w:rsidP="00F56B4C">
      <w:pPr>
        <w:jc w:val="both"/>
      </w:pPr>
      <w:proofErr w:type="gramStart"/>
      <w:r w:rsidRPr="00AC1474">
        <w:t>The Digital</w:t>
      </w:r>
      <w:proofErr w:type="gramEnd"/>
      <w:r w:rsidRPr="00AC1474">
        <w:t xml:space="preserve"> Omnibus must not introduce broad exceptions that weaken the protection of health, genetic or biometric data, including information from which a person’s health status may be inferred. Such data should only be processed where there </w:t>
      </w:r>
      <w:proofErr w:type="gramStart"/>
      <w:r w:rsidRPr="00AC1474">
        <w:t>is</w:t>
      </w:r>
      <w:proofErr w:type="gramEnd"/>
      <w:r w:rsidRPr="00AC1474">
        <w:t xml:space="preserve"> a clear and specific legal basis and all relevant safeguards under</w:t>
      </w:r>
      <w:r w:rsidR="00CF7727">
        <w:t xml:space="preserve"> Article 6 and Article 9 of</w:t>
      </w:r>
      <w:r w:rsidRPr="00AC1474">
        <w:t xml:space="preserve"> the General Data Protection Regulation (GDPR) are met. These</w:t>
      </w:r>
      <w:r w:rsidRPr="00F56B4C">
        <w:t xml:space="preserve"> </w:t>
      </w:r>
      <w:r w:rsidR="00AB7B5B" w:rsidRPr="00F56B4C">
        <w:t>safeguards</w:t>
      </w:r>
      <w:r w:rsidRPr="00F56B4C">
        <w:t xml:space="preserve"> </w:t>
      </w:r>
      <w:r w:rsidRPr="00AC1474">
        <w:t>must continue to apply when patient data are used in digital services, AI systems or research</w:t>
      </w:r>
      <w:r>
        <w:t>.</w:t>
      </w:r>
      <w:r w:rsidR="00F56B4C">
        <w:t xml:space="preserve"> </w:t>
      </w:r>
      <w:r w:rsidR="00572881">
        <w:t xml:space="preserve">Any derogation or simplification measure should clearly exclude health-related data unless processing is expressly </w:t>
      </w:r>
      <w:proofErr w:type="spellStart"/>
      <w:r w:rsidR="00572881">
        <w:t>authorised</w:t>
      </w:r>
      <w:proofErr w:type="spellEnd"/>
      <w:r w:rsidR="00572881">
        <w:t xml:space="preserve"> by Union or Member State law, subject to robust safeguards, clear liability rules and effective </w:t>
      </w:r>
      <w:r w:rsidR="0063764F">
        <w:t>supervision</w:t>
      </w:r>
      <w:r w:rsidR="00572881">
        <w:t xml:space="preserve">. </w:t>
      </w:r>
      <w:proofErr w:type="gramStart"/>
      <w:r w:rsidR="000809C1" w:rsidRPr="000809C1">
        <w:t>The Digital</w:t>
      </w:r>
      <w:proofErr w:type="gramEnd"/>
      <w:r w:rsidR="000809C1" w:rsidRPr="000809C1">
        <w:t xml:space="preserve"> Omnibus must not weaken professional secrecy, including the legal and professional duties of confidentiality owed by healthcare professionals to their patients</w:t>
      </w:r>
      <w:r w:rsidR="000809C1">
        <w:t>.</w:t>
      </w:r>
    </w:p>
    <w:p w14:paraId="1B137146" w14:textId="57B4DE83" w:rsidR="00572881" w:rsidRPr="003E0FE6" w:rsidRDefault="00C50054" w:rsidP="00F56B4C">
      <w:pPr>
        <w:jc w:val="both"/>
        <w:rPr>
          <w:b/>
          <w:bCs/>
        </w:rPr>
      </w:pPr>
      <w:r>
        <w:rPr>
          <w:b/>
          <w:bCs/>
        </w:rPr>
        <w:t xml:space="preserve">2. </w:t>
      </w:r>
      <w:r w:rsidR="00572881" w:rsidRPr="003E0FE6">
        <w:rPr>
          <w:b/>
          <w:bCs/>
        </w:rPr>
        <w:t>Ensure</w:t>
      </w:r>
      <w:r w:rsidR="00572881">
        <w:rPr>
          <w:b/>
          <w:bCs/>
        </w:rPr>
        <w:t xml:space="preserve"> that AI development does not bypass safeguards for the use of patient data</w:t>
      </w:r>
    </w:p>
    <w:p w14:paraId="53ED4685" w14:textId="6C9B52BD" w:rsidR="00572881" w:rsidRPr="00572881" w:rsidRDefault="00572881" w:rsidP="00B32BD7">
      <w:pPr>
        <w:jc w:val="both"/>
      </w:pPr>
      <w:r w:rsidRPr="00572881">
        <w:t xml:space="preserve">AI can bring important benefits to healthcare, but trust in </w:t>
      </w:r>
      <w:r w:rsidR="00B05A30">
        <w:t xml:space="preserve">the deployment of </w:t>
      </w:r>
      <w:r>
        <w:t>AI will depend on strict respect for patients’ rights. General rules intended to support AI development should not allow the incidental or secondary use of patient or health-related data without appropriate safeguards and comprehensive information to patients.</w:t>
      </w:r>
    </w:p>
    <w:p w14:paraId="50B75014" w14:textId="1DC20A82" w:rsidR="00572881" w:rsidRDefault="00572881" w:rsidP="00B32BD7">
      <w:pPr>
        <w:jc w:val="both"/>
      </w:pPr>
      <w:r w:rsidRPr="00572881">
        <w:t>Where health data or inferred health data are involved, processing should require a specific legal basis, documented necessity and proportionality</w:t>
      </w:r>
      <w:r w:rsidR="00D537C6">
        <w:t xml:space="preserve"> </w:t>
      </w:r>
      <w:r>
        <w:t>and effective measures preventing re-use for profiling, advertising, commercial targeting or unrelated commercial purposes.</w:t>
      </w:r>
    </w:p>
    <w:p w14:paraId="042CF08B" w14:textId="32721B52" w:rsidR="004E24F8" w:rsidRDefault="00C73732" w:rsidP="00B32BD7">
      <w:pPr>
        <w:jc w:val="both"/>
      </w:pPr>
      <w:r w:rsidRPr="00C73732">
        <w:lastRenderedPageBreak/>
        <w:t xml:space="preserve">Developers and providers of AI systems and other digital health technologies should remain accountable for ensuring that patient data processed through their products are protected in accordance with the GDPR. </w:t>
      </w:r>
      <w:proofErr w:type="gramStart"/>
      <w:r w:rsidRPr="00C73732">
        <w:t>The Digital</w:t>
      </w:r>
      <w:proofErr w:type="gramEnd"/>
      <w:r w:rsidRPr="00C73732">
        <w:t xml:space="preserve"> Omnibus should not transfer or dilute this responsibility.</w:t>
      </w:r>
    </w:p>
    <w:p w14:paraId="7424E5A9" w14:textId="3819DBCB" w:rsidR="00572881" w:rsidRPr="00F56B4C" w:rsidRDefault="00572881" w:rsidP="00F56B4C">
      <w:pPr>
        <w:pStyle w:val="ListParagraph"/>
        <w:numPr>
          <w:ilvl w:val="0"/>
          <w:numId w:val="2"/>
        </w:numPr>
        <w:jc w:val="both"/>
        <w:rPr>
          <w:b/>
          <w:bCs/>
        </w:rPr>
      </w:pPr>
      <w:r w:rsidRPr="00F56B4C">
        <w:rPr>
          <w:b/>
          <w:bCs/>
        </w:rPr>
        <w:t>Protect patients from tracking, profiling and commercial exploitation</w:t>
      </w:r>
    </w:p>
    <w:p w14:paraId="468B8798" w14:textId="77777777" w:rsidR="00572881" w:rsidRPr="00572881" w:rsidRDefault="00572881" w:rsidP="00B32BD7">
      <w:pPr>
        <w:jc w:val="both"/>
      </w:pPr>
      <w:r w:rsidRPr="00572881">
        <w:t>Searches, visits and purchases on medicine-, pharmacy- or health-related websites can reveal or allow the inference of health conditions. Patients should not have to choose between accessing healthcare information and preserving their privacy</w:t>
      </w:r>
      <w:r w:rsidR="006D7733">
        <w:t xml:space="preserve"> online</w:t>
      </w:r>
      <w:r w:rsidRPr="00572881">
        <w:t>.</w:t>
      </w:r>
    </w:p>
    <w:p w14:paraId="71DDAE27" w14:textId="76354D1F" w:rsidR="00DB5F9C" w:rsidRPr="00572881" w:rsidRDefault="00275F74" w:rsidP="00B32BD7">
      <w:pPr>
        <w:jc w:val="both"/>
      </w:pPr>
      <w:r w:rsidRPr="00275F74">
        <w:t xml:space="preserve">Audience </w:t>
      </w:r>
      <w:proofErr w:type="gramStart"/>
      <w:r w:rsidRPr="00275F74">
        <w:t>measurement</w:t>
      </w:r>
      <w:proofErr w:type="gramEnd"/>
      <w:r w:rsidRPr="00275F74">
        <w:t xml:space="preserve"> should use anonymous data, be strictly purpose-limited and remain clearly separated from </w:t>
      </w:r>
      <w:proofErr w:type="spellStart"/>
      <w:r w:rsidRPr="00275F74">
        <w:t>behavioural</w:t>
      </w:r>
      <w:proofErr w:type="spellEnd"/>
      <w:r w:rsidRPr="00275F74">
        <w:t xml:space="preserve"> advertising, </w:t>
      </w:r>
      <w:proofErr w:type="spellStart"/>
      <w:r w:rsidRPr="00275F74">
        <w:t>personalised</w:t>
      </w:r>
      <w:proofErr w:type="spellEnd"/>
      <w:r w:rsidRPr="00275F74">
        <w:t xml:space="preserve"> advertising, customer segmentation, profiling or the inference of health status. Where processing involves personal data, online identifiers, cross-service tracking or the potential to make health-related inferences, it should require the data subject’s consent and must not be misrepresented as technical measurement, service improvement or scientific research to avoid obtaining consent.</w:t>
      </w:r>
    </w:p>
    <w:p w14:paraId="606F0980" w14:textId="77777777" w:rsidR="00572881" w:rsidRPr="003E0FE6" w:rsidRDefault="00572881" w:rsidP="00F56B4C">
      <w:pPr>
        <w:pStyle w:val="ListParagraph"/>
        <w:numPr>
          <w:ilvl w:val="0"/>
          <w:numId w:val="2"/>
        </w:numPr>
        <w:jc w:val="both"/>
        <w:rPr>
          <w:b/>
          <w:bCs/>
        </w:rPr>
      </w:pPr>
      <w:r w:rsidRPr="003E0FE6">
        <w:rPr>
          <w:b/>
          <w:bCs/>
        </w:rPr>
        <w:t xml:space="preserve">Maintain strong safeguards for </w:t>
      </w:r>
      <w:proofErr w:type="spellStart"/>
      <w:r w:rsidRPr="003E0FE6">
        <w:rPr>
          <w:b/>
          <w:bCs/>
        </w:rPr>
        <w:t>pseudonymised</w:t>
      </w:r>
      <w:proofErr w:type="spellEnd"/>
      <w:r w:rsidRPr="003E0FE6">
        <w:rPr>
          <w:b/>
          <w:bCs/>
        </w:rPr>
        <w:t xml:space="preserve"> health data</w:t>
      </w:r>
    </w:p>
    <w:p w14:paraId="1ECC4CBE" w14:textId="2570A0A2" w:rsidR="00572881" w:rsidRPr="00572881" w:rsidRDefault="00572881" w:rsidP="00B32BD7">
      <w:pPr>
        <w:jc w:val="both"/>
      </w:pPr>
      <w:proofErr w:type="spellStart"/>
      <w:r w:rsidRPr="00572881">
        <w:t>Pseudonymisation</w:t>
      </w:r>
      <w:proofErr w:type="spellEnd"/>
      <w:r w:rsidRPr="00572881">
        <w:t xml:space="preserve"> is an important security measure, but it does not automatically make health data </w:t>
      </w:r>
      <w:r w:rsidR="00CD7419">
        <w:t>untraceable</w:t>
      </w:r>
      <w:r w:rsidRPr="00572881">
        <w:t xml:space="preserve">. Health-related datasets may remain </w:t>
      </w:r>
      <w:r w:rsidR="007D23B3" w:rsidRPr="007D23B3">
        <w:t>capable of being linked to an individual, particularly</w:t>
      </w:r>
      <w:r>
        <w:t xml:space="preserve"> when combined with other data sources or </w:t>
      </w:r>
      <w:proofErr w:type="spellStart"/>
      <w:r>
        <w:t>analysed</w:t>
      </w:r>
      <w:proofErr w:type="spellEnd"/>
      <w:r>
        <w:t xml:space="preserve"> through advanced linkage and inference techniques.</w:t>
      </w:r>
    </w:p>
    <w:p w14:paraId="4E0C320E" w14:textId="6FEE2FB8" w:rsidR="00C104FA" w:rsidRPr="00572881" w:rsidRDefault="00040F3D" w:rsidP="00B32BD7">
      <w:pPr>
        <w:jc w:val="both"/>
      </w:pPr>
      <w:proofErr w:type="spellStart"/>
      <w:r w:rsidRPr="00040F3D">
        <w:t>Pseudonymised</w:t>
      </w:r>
      <w:proofErr w:type="spellEnd"/>
      <w:r w:rsidRPr="00040F3D">
        <w:t xml:space="preserve"> health, genetic and biometric data, including data from which health-related information may be inferred, should not be presumed to be anonymous or treated as no longer constituting personal data</w:t>
      </w:r>
      <w:r w:rsidR="002F4A5C">
        <w:t xml:space="preserve">. </w:t>
      </w:r>
      <w:r w:rsidR="00C104FA" w:rsidRPr="00C104FA">
        <w:t>Any amendments introduced through the Digital Omnibus should remain consistent with the European Health Data Space and should not weaken its safeguards for the primary or secondary use of personal electronic health data.</w:t>
      </w:r>
    </w:p>
    <w:p w14:paraId="44E934AD" w14:textId="77777777" w:rsidR="00B01188" w:rsidRDefault="00000000">
      <w:pPr>
        <w:jc w:val="both"/>
      </w:pPr>
      <w:proofErr w:type="gramStart"/>
      <w:r>
        <w:t>In particular, access</w:t>
      </w:r>
      <w:proofErr w:type="gramEnd"/>
      <w:r>
        <w:t xml:space="preserve"> to electronic health data for secondary use for AI development must comply with the specific limitations in Article 53(1)(e) of the EHDS, which permits such access only as part of scientific research related to the health or care sectors and subject to the EHDS safeguards.</w:t>
      </w:r>
    </w:p>
    <w:p w14:paraId="4196B8C6" w14:textId="77777777" w:rsidR="00B01188" w:rsidRDefault="00000000">
      <w:pPr>
        <w:jc w:val="both"/>
      </w:pPr>
      <w:r>
        <w:t xml:space="preserve">Treating </w:t>
      </w:r>
      <w:proofErr w:type="spellStart"/>
      <w:r>
        <w:t>pseudonymised</w:t>
      </w:r>
      <w:proofErr w:type="spellEnd"/>
      <w:r>
        <w:t xml:space="preserve"> data as not necessarily constituting personal data risks creating legal uncertainty in healthcare and significantly weakening the data-protection safeguards on which the EHDS is built.</w:t>
      </w:r>
    </w:p>
    <w:p w14:paraId="4E3B5B4C" w14:textId="77777777" w:rsidR="00B01188" w:rsidRDefault="00000000">
      <w:pPr>
        <w:jc w:val="both"/>
      </w:pPr>
      <w:r>
        <w:t xml:space="preserve">At the same time, </w:t>
      </w:r>
      <w:proofErr w:type="spellStart"/>
      <w:r>
        <w:t>pseudonymised</w:t>
      </w:r>
      <w:proofErr w:type="spellEnd"/>
      <w:r>
        <w:t xml:space="preserve"> data and robust </w:t>
      </w:r>
      <w:proofErr w:type="spellStart"/>
      <w:r>
        <w:t>pseudonymisation</w:t>
      </w:r>
      <w:proofErr w:type="spellEnd"/>
      <w:r>
        <w:t xml:space="preserve"> methods are important for cross-sectoral health research. The possibilities for GDPR-compliant merging and AI-supported analysis of </w:t>
      </w:r>
      <w:proofErr w:type="spellStart"/>
      <w:r>
        <w:t>pseudonymised</w:t>
      </w:r>
      <w:proofErr w:type="spellEnd"/>
      <w:r>
        <w:t xml:space="preserve"> health data for public-benefit research should therefore be maintained and further developed.</w:t>
      </w:r>
    </w:p>
    <w:p w14:paraId="32B371A3" w14:textId="291B4C0A" w:rsidR="007943B5" w:rsidRPr="007943B5" w:rsidRDefault="000719F7" w:rsidP="007943B5">
      <w:pPr>
        <w:pStyle w:val="ListParagraph"/>
        <w:numPr>
          <w:ilvl w:val="0"/>
          <w:numId w:val="2"/>
        </w:numPr>
        <w:jc w:val="both"/>
        <w:rPr>
          <w:b/>
          <w:bCs/>
        </w:rPr>
      </w:pPr>
      <w:r w:rsidRPr="007943B5">
        <w:rPr>
          <w:b/>
          <w:bCs/>
        </w:rPr>
        <w:t xml:space="preserve">Preserve the right not to be subject to automated decision-making and ensure meaningful human oversight </w:t>
      </w:r>
      <w:proofErr w:type="gramStart"/>
      <w:r w:rsidRPr="007943B5">
        <w:rPr>
          <w:b/>
          <w:bCs/>
        </w:rPr>
        <w:t>in</w:t>
      </w:r>
      <w:proofErr w:type="gramEnd"/>
      <w:r w:rsidRPr="007943B5">
        <w:rPr>
          <w:b/>
          <w:bCs/>
        </w:rPr>
        <w:t xml:space="preserve"> healthcare </w:t>
      </w:r>
    </w:p>
    <w:p w14:paraId="5720A1C1" w14:textId="38CA07F9" w:rsidR="00B01188" w:rsidRDefault="00AD11F1">
      <w:pPr>
        <w:jc w:val="both"/>
      </w:pPr>
      <w:r>
        <w:t xml:space="preserve">The right not to be subject to automated decision-making </w:t>
      </w:r>
      <w:r w:rsidR="002F4A5C">
        <w:t xml:space="preserve">in Article 22 GDPR </w:t>
      </w:r>
      <w:r w:rsidR="005145A6">
        <w:t>should be reinstated</w:t>
      </w:r>
      <w:r>
        <w:t>, and a</w:t>
      </w:r>
      <w:r w:rsidR="00572881" w:rsidRPr="00572881">
        <w:t xml:space="preserve">utomated </w:t>
      </w:r>
      <w:r w:rsidR="005721F7">
        <w:t xml:space="preserve">decision-making </w:t>
      </w:r>
      <w:r w:rsidR="00572881" w:rsidRPr="00572881">
        <w:t>systems</w:t>
      </w:r>
      <w:r w:rsidR="0062016A">
        <w:t>, including AI,</w:t>
      </w:r>
      <w:r w:rsidR="00572881" w:rsidRPr="00572881">
        <w:t xml:space="preserve"> should not determine access to, recommendation, pricing or marketing of medicinal products or pharmacy services without appropriate human review</w:t>
      </w:r>
      <w:r w:rsidR="00B87405">
        <w:t xml:space="preserve"> and oversight</w:t>
      </w:r>
      <w:r w:rsidR="00572881" w:rsidRPr="00572881">
        <w:t>. Where decisions may significantly affect patients</w:t>
      </w:r>
      <w:r w:rsidR="009C733B">
        <w:t xml:space="preserve"> and their health</w:t>
      </w:r>
      <w:r w:rsidR="00572881" w:rsidRPr="00572881">
        <w:t xml:space="preserve">, individuals </w:t>
      </w:r>
      <w:r w:rsidR="00BE52B4">
        <w:t xml:space="preserve">must </w:t>
      </w:r>
      <w:r w:rsidR="00572881" w:rsidRPr="00572881">
        <w:t xml:space="preserve">have access to meaningful human </w:t>
      </w:r>
      <w:r w:rsidR="006401BA">
        <w:t>oversight</w:t>
      </w:r>
      <w:r w:rsidR="00572881" w:rsidRPr="00572881">
        <w:t>, clear explanations</w:t>
      </w:r>
      <w:r w:rsidR="009C733B">
        <w:t>,</w:t>
      </w:r>
      <w:r w:rsidR="008F2BBC">
        <w:t xml:space="preserve"> and </w:t>
      </w:r>
      <w:r w:rsidR="00FD729A">
        <w:t>healthcare professionals’ support</w:t>
      </w:r>
      <w:r w:rsidR="00B10876">
        <w:t>,</w:t>
      </w:r>
      <w:r w:rsidR="00FD729A">
        <w:t xml:space="preserve"> </w:t>
      </w:r>
      <w:r>
        <w:t>thus</w:t>
      </w:r>
      <w:r w:rsidR="00FD729A">
        <w:t xml:space="preserve"> </w:t>
      </w:r>
      <w:r w:rsidR="0021150B">
        <w:t xml:space="preserve">guaranteeing </w:t>
      </w:r>
      <w:r w:rsidR="00B10876">
        <w:t xml:space="preserve">that </w:t>
      </w:r>
      <w:r w:rsidR="0021150B">
        <w:t xml:space="preserve">the information is clearly </w:t>
      </w:r>
      <w:r w:rsidR="0021150B">
        <w:lastRenderedPageBreak/>
        <w:t>understood</w:t>
      </w:r>
      <w:r w:rsidR="006641F2">
        <w:t xml:space="preserve"> by patients</w:t>
      </w:r>
      <w:r w:rsidR="008F2BBC">
        <w:t>.</w:t>
      </w:r>
      <w:r w:rsidR="007943B5">
        <w:t xml:space="preserve"> </w:t>
      </w:r>
      <w:r w:rsidR="00000000">
        <w:t>T</w:t>
      </w:r>
      <w:r w:rsidR="00000000">
        <w:t>here should also be a clear liability framework for automated decision-making using AI.</w:t>
      </w:r>
    </w:p>
    <w:p w14:paraId="19EA5C5B" w14:textId="77777777" w:rsidR="00B01188" w:rsidRDefault="00000000">
      <w:pPr>
        <w:jc w:val="both"/>
      </w:pPr>
      <w:r>
        <w:t xml:space="preserve">We highlight the importance of preserving patient </w:t>
      </w:r>
      <w:proofErr w:type="gramStart"/>
      <w:r>
        <w:t>agency</w:t>
      </w:r>
      <w:proofErr w:type="gramEnd"/>
      <w:r>
        <w:t xml:space="preserve"> and reaffirm the central role of the patient-healthcare professional relationship in ensuring that decisions concerning a patient’s health are balanced, informed and grounded in established medical expertise.</w:t>
      </w:r>
    </w:p>
    <w:p w14:paraId="4EE5D078" w14:textId="77777777" w:rsidR="00572881" w:rsidRPr="00572881" w:rsidRDefault="00572881" w:rsidP="00B32BD7">
      <w:pPr>
        <w:jc w:val="both"/>
      </w:pPr>
      <w:r w:rsidRPr="00572881">
        <w:t xml:space="preserve">Data concerning health or inferred health status should not be used for such decisions without explicit consent or another specific legal basis under Article 9 </w:t>
      </w:r>
      <w:r w:rsidR="00084285">
        <w:t xml:space="preserve">of the </w:t>
      </w:r>
      <w:r w:rsidRPr="00572881">
        <w:t>GDPR.</w:t>
      </w:r>
    </w:p>
    <w:p w14:paraId="617B7B63" w14:textId="71C5AD9D" w:rsidR="00572881" w:rsidRPr="00C50054" w:rsidRDefault="00C50054" w:rsidP="00F56B4C">
      <w:pPr>
        <w:ind w:left="720"/>
        <w:jc w:val="both"/>
        <w:rPr>
          <w:b/>
          <w:bCs/>
        </w:rPr>
      </w:pPr>
      <w:r>
        <w:rPr>
          <w:b/>
          <w:bCs/>
        </w:rPr>
        <w:t xml:space="preserve">6. </w:t>
      </w:r>
      <w:r w:rsidR="00572881" w:rsidRPr="00C50054">
        <w:rPr>
          <w:b/>
          <w:bCs/>
        </w:rPr>
        <w:t>Support innovation without weakening fundamental rights</w:t>
      </w:r>
    </w:p>
    <w:p w14:paraId="59395F1A" w14:textId="320647F5" w:rsidR="00572881" w:rsidRDefault="00AC666E" w:rsidP="00B32BD7">
      <w:pPr>
        <w:jc w:val="both"/>
      </w:pPr>
      <w:r>
        <w:t>The signat</w:t>
      </w:r>
      <w:r w:rsidR="00D8299F">
        <w:t>ories</w:t>
      </w:r>
      <w:r w:rsidRPr="00572881">
        <w:t xml:space="preserve"> </w:t>
      </w:r>
      <w:r w:rsidR="00572881" w:rsidRPr="00572881">
        <w:t xml:space="preserve">support digital innovation that improves healthcare, strengthens patient safety and supports healthcare professionals. </w:t>
      </w:r>
      <w:r w:rsidR="00C81A23" w:rsidRPr="00C81A23">
        <w:t>However,</w:t>
      </w:r>
      <w:r w:rsidR="00C81A23">
        <w:t xml:space="preserve"> </w:t>
      </w:r>
      <w:r w:rsidR="00572881" w:rsidRPr="00572881">
        <w:t>innovation in health</w:t>
      </w:r>
      <w:r w:rsidR="00893CCD">
        <w:t>care</w:t>
      </w:r>
      <w:r w:rsidR="00572881" w:rsidRPr="00572881">
        <w:t xml:space="preserve"> must be built on trust. </w:t>
      </w:r>
      <w:proofErr w:type="gramStart"/>
      <w:r w:rsidR="00572881" w:rsidRPr="00572881">
        <w:t>Weakening</w:t>
      </w:r>
      <w:proofErr w:type="gramEnd"/>
      <w:r w:rsidR="00572881" w:rsidRPr="00572881">
        <w:t xml:space="preserve"> privacy, confidentiality or data protection would undermine patients’ willingness to use digital services and share information with healthcare professionals.</w:t>
      </w:r>
    </w:p>
    <w:p w14:paraId="090255FF" w14:textId="77777777" w:rsidR="00BC274B" w:rsidRDefault="00BC274B" w:rsidP="00B32BD7">
      <w:pPr>
        <w:jc w:val="both"/>
        <w:rPr>
          <w:lang w:val="en-GB"/>
        </w:rPr>
      </w:pPr>
      <w:proofErr w:type="gramStart"/>
      <w:r w:rsidRPr="00572EA0">
        <w:rPr>
          <w:lang w:val="en-GB"/>
        </w:rPr>
        <w:t>In particular, legislators</w:t>
      </w:r>
      <w:proofErr w:type="gramEnd"/>
      <w:r w:rsidRPr="00572EA0">
        <w:rPr>
          <w:lang w:val="en-GB"/>
        </w:rPr>
        <w:t xml:space="preserve"> should ensure a clear distinction between scientific research in the public interest and activities that primarily pursue commercial or business objectives. The concept of scientific research should not be expanded in a manner that weakens existing safeguards for health-related data or facilitates their use for commercial purposes.</w:t>
      </w:r>
    </w:p>
    <w:p w14:paraId="39A9BA2E" w14:textId="44F1B620" w:rsidR="00572881" w:rsidRPr="00572881" w:rsidRDefault="00572881" w:rsidP="00B32BD7">
      <w:pPr>
        <w:jc w:val="both"/>
      </w:pPr>
      <w:r w:rsidRPr="00572881">
        <w:t xml:space="preserve">The Digital Omnibus should </w:t>
      </w:r>
      <w:r>
        <w:t>streamline requirements where they do not add value to patient safety or where they stifle meaningful, patient-</w:t>
      </w:r>
      <w:proofErr w:type="spellStart"/>
      <w:r>
        <w:t>centred</w:t>
      </w:r>
      <w:proofErr w:type="spellEnd"/>
      <w:r>
        <w:t xml:space="preserve"> innovation</w:t>
      </w:r>
      <w:r w:rsidRPr="00572881">
        <w:t xml:space="preserve">, but not where </w:t>
      </w:r>
      <w:r w:rsidR="0054129E" w:rsidRPr="0054129E">
        <w:t xml:space="preserve">this </w:t>
      </w:r>
      <w:r w:rsidRPr="00572881">
        <w:t xml:space="preserve">would reduce the protection of sensitive health data, </w:t>
      </w:r>
      <w:r w:rsidR="003607D7" w:rsidRPr="003607D7">
        <w:t xml:space="preserve">enable </w:t>
      </w:r>
      <w:r w:rsidRPr="00572881">
        <w:t xml:space="preserve">commercial exploitation or blur the </w:t>
      </w:r>
      <w:r w:rsidR="008766E8" w:rsidRPr="008766E8">
        <w:t xml:space="preserve">distinction </w:t>
      </w:r>
      <w:r w:rsidRPr="00572881">
        <w:t>between healthcare, advertising and profiling</w:t>
      </w:r>
      <w:r w:rsidR="00522414" w:rsidRPr="00572EA0">
        <w:rPr>
          <w:lang w:val="en-GB"/>
        </w:rPr>
        <w:t>, or weaken the distinction between scientific research and commercial data use</w:t>
      </w:r>
      <w:r w:rsidRPr="00572881">
        <w:t>.</w:t>
      </w:r>
    </w:p>
    <w:p w14:paraId="3F58466F" w14:textId="07E4C963" w:rsidR="00572881" w:rsidRDefault="00572881" w:rsidP="00B32BD7">
      <w:pPr>
        <w:jc w:val="both"/>
      </w:pPr>
      <w:r w:rsidRPr="00572881">
        <w:t xml:space="preserve">We urge the European Parliament and the Council to ensure that the Digital Omnibus preserves </w:t>
      </w:r>
      <w:r w:rsidR="001D0C92" w:rsidRPr="001D0C92">
        <w:t xml:space="preserve">the protections provided by </w:t>
      </w:r>
      <w:r w:rsidR="001D0C92">
        <w:t xml:space="preserve">the </w:t>
      </w:r>
      <w:r w:rsidRPr="00572881">
        <w:t xml:space="preserve">GDPR and </w:t>
      </w:r>
      <w:proofErr w:type="spellStart"/>
      <w:r w:rsidRPr="00572881">
        <w:t>ePrivacy</w:t>
      </w:r>
      <w:proofErr w:type="spellEnd"/>
      <w:r w:rsidRPr="00572881">
        <w:t xml:space="preserve"> framework as a cornerstone of patient trust, public health and responsible digital innovation in Europe.</w:t>
      </w:r>
    </w:p>
    <w:p w14:paraId="3892F45B" w14:textId="77777777" w:rsidR="00B32BD7" w:rsidRDefault="00B32BD7" w:rsidP="00B32BD7">
      <w:pPr>
        <w:jc w:val="both"/>
      </w:pPr>
    </w:p>
    <w:p w14:paraId="78B50D57" w14:textId="77777777" w:rsidR="003E0FE6" w:rsidRPr="00572881" w:rsidRDefault="003E0FE6" w:rsidP="00B32BD7">
      <w:pPr>
        <w:jc w:val="both"/>
      </w:pPr>
    </w:p>
    <w:p w14:paraId="54CDAAFB" w14:textId="77777777" w:rsidR="008752A4" w:rsidRDefault="00B32BD7">
      <w:pPr>
        <w:rPr>
          <w:b/>
          <w:bCs/>
        </w:rPr>
      </w:pPr>
      <w:r w:rsidRPr="00B32BD7">
        <w:rPr>
          <w:b/>
          <w:bCs/>
        </w:rPr>
        <w:t>Name and description of the sign</w:t>
      </w:r>
      <w:r>
        <w:rPr>
          <w:b/>
          <w:bCs/>
        </w:rPr>
        <w:t>a</w:t>
      </w:r>
      <w:r w:rsidRPr="00B32BD7">
        <w:rPr>
          <w:b/>
          <w:bCs/>
        </w:rPr>
        <w:t>tories</w:t>
      </w:r>
    </w:p>
    <w:p w14:paraId="3E64A4F2" w14:textId="77777777" w:rsidR="00FF2452" w:rsidRDefault="00FF2452" w:rsidP="00FF2452"/>
    <w:p w14:paraId="3618AD1C" w14:textId="77777777" w:rsidR="00FF2452" w:rsidRDefault="00FF2452" w:rsidP="00FF2452">
      <w:pPr>
        <w:jc w:val="both"/>
      </w:pPr>
      <w:r>
        <w:t xml:space="preserve">Council of European Dentists (CED): </w:t>
      </w:r>
      <w:r w:rsidRPr="0043499C">
        <w:rPr>
          <w:i/>
          <w:iCs/>
        </w:rPr>
        <w:t>The</w:t>
      </w:r>
      <w:r>
        <w:rPr>
          <w:i/>
          <w:iCs/>
        </w:rPr>
        <w:t xml:space="preserve"> </w:t>
      </w:r>
      <w:r w:rsidRPr="0043499C">
        <w:rPr>
          <w:i/>
          <w:iCs/>
        </w:rPr>
        <w:t>CED is a European not-for-profit association which represents over 350,000 dentists across Europe. The association was established in 1961 and is now composed of 32 national dental associations from 30 European countries.</w:t>
      </w:r>
    </w:p>
    <w:p w14:paraId="446EA844" w14:textId="77777777" w:rsidR="00FF2452" w:rsidRPr="00B32BD7" w:rsidRDefault="00FF2452">
      <w:pPr>
        <w:rPr>
          <w:b/>
          <w:bCs/>
        </w:rPr>
      </w:pPr>
    </w:p>
    <w:sectPr w:rsidR="00FF2452" w:rsidRPr="00B32BD7" w:rsidSect="00FF2452">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75443" w14:textId="77777777" w:rsidR="00565A2A" w:rsidRDefault="00565A2A" w:rsidP="00FF2452">
      <w:pPr>
        <w:spacing w:after="0" w:line="240" w:lineRule="auto"/>
      </w:pPr>
      <w:r>
        <w:separator/>
      </w:r>
    </w:p>
  </w:endnote>
  <w:endnote w:type="continuationSeparator" w:id="0">
    <w:p w14:paraId="059ECA07" w14:textId="77777777" w:rsidR="00565A2A" w:rsidRDefault="00565A2A" w:rsidP="00FF2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A334" w14:textId="77777777" w:rsidR="00565A2A" w:rsidRDefault="00565A2A" w:rsidP="00FF2452">
      <w:pPr>
        <w:spacing w:after="0" w:line="240" w:lineRule="auto"/>
      </w:pPr>
      <w:r>
        <w:separator/>
      </w:r>
    </w:p>
  </w:footnote>
  <w:footnote w:type="continuationSeparator" w:id="0">
    <w:p w14:paraId="09C46CD1" w14:textId="77777777" w:rsidR="00565A2A" w:rsidRDefault="00565A2A" w:rsidP="00FF2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6C7F8" w14:textId="52B9C26A" w:rsidR="00FF2452" w:rsidRDefault="00FF2452">
    <w:pPr>
      <w:pStyle w:val="Header"/>
    </w:pPr>
    <w:r>
      <w:rPr>
        <w:noProof/>
      </w:rPr>
      <w:drawing>
        <wp:inline distT="0" distB="0" distL="0" distR="0" wp14:anchorId="3B6448E4" wp14:editId="5ADBF07D">
          <wp:extent cx="804121" cy="952500"/>
          <wp:effectExtent l="0" t="0" r="0" b="0"/>
          <wp:docPr id="35875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59603" name="Picture 358759603"/>
                  <pic:cNvPicPr/>
                </pic:nvPicPr>
                <pic:blipFill>
                  <a:blip r:embed="rId1">
                    <a:extLst>
                      <a:ext uri="{28A0092B-C50C-407E-A947-70E740481C1C}">
                        <a14:useLocalDpi xmlns:a14="http://schemas.microsoft.com/office/drawing/2010/main" val="0"/>
                      </a:ext>
                    </a:extLst>
                  </a:blip>
                  <a:stretch>
                    <a:fillRect/>
                  </a:stretch>
                </pic:blipFill>
                <pic:spPr>
                  <a:xfrm>
                    <a:off x="0" y="0"/>
                    <a:ext cx="806077" cy="9548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E70"/>
    <w:multiLevelType w:val="hybridMultilevel"/>
    <w:tmpl w:val="91F857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FB3685C"/>
    <w:multiLevelType w:val="hybridMultilevel"/>
    <w:tmpl w:val="5C463BCA"/>
    <w:lvl w:ilvl="0" w:tplc="D4F66B86">
      <w:start w:val="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521502914">
    <w:abstractNumId w:val="0"/>
  </w:num>
  <w:num w:numId="2" w16cid:durableId="905534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B77"/>
    <w:rsid w:val="00040F3D"/>
    <w:rsid w:val="00062D18"/>
    <w:rsid w:val="000719F7"/>
    <w:rsid w:val="000809C1"/>
    <w:rsid w:val="00084285"/>
    <w:rsid w:val="000C013E"/>
    <w:rsid w:val="00182FA9"/>
    <w:rsid w:val="00184D3C"/>
    <w:rsid w:val="001C66B6"/>
    <w:rsid w:val="001D0C92"/>
    <w:rsid w:val="001E3D8E"/>
    <w:rsid w:val="001F6D54"/>
    <w:rsid w:val="0021150B"/>
    <w:rsid w:val="00220234"/>
    <w:rsid w:val="00245BD4"/>
    <w:rsid w:val="002510D7"/>
    <w:rsid w:val="00264138"/>
    <w:rsid w:val="00274D2A"/>
    <w:rsid w:val="00275F74"/>
    <w:rsid w:val="00287144"/>
    <w:rsid w:val="002A5143"/>
    <w:rsid w:val="002F4A5C"/>
    <w:rsid w:val="0030376D"/>
    <w:rsid w:val="0031667C"/>
    <w:rsid w:val="003448CF"/>
    <w:rsid w:val="003607D7"/>
    <w:rsid w:val="00361BED"/>
    <w:rsid w:val="0037277C"/>
    <w:rsid w:val="00384238"/>
    <w:rsid w:val="003E0FE6"/>
    <w:rsid w:val="00424FE7"/>
    <w:rsid w:val="00447DDD"/>
    <w:rsid w:val="004509DF"/>
    <w:rsid w:val="00477D65"/>
    <w:rsid w:val="004A7A6B"/>
    <w:rsid w:val="004B39B9"/>
    <w:rsid w:val="004C441F"/>
    <w:rsid w:val="004C489F"/>
    <w:rsid w:val="004E24F8"/>
    <w:rsid w:val="004F4CFB"/>
    <w:rsid w:val="005145A6"/>
    <w:rsid w:val="00522414"/>
    <w:rsid w:val="0054129E"/>
    <w:rsid w:val="00565A2A"/>
    <w:rsid w:val="005721F7"/>
    <w:rsid w:val="00572881"/>
    <w:rsid w:val="00572EA0"/>
    <w:rsid w:val="0057735E"/>
    <w:rsid w:val="005F29DF"/>
    <w:rsid w:val="0062016A"/>
    <w:rsid w:val="0063764F"/>
    <w:rsid w:val="006401BA"/>
    <w:rsid w:val="006641F2"/>
    <w:rsid w:val="0069729B"/>
    <w:rsid w:val="006C4211"/>
    <w:rsid w:val="006D7733"/>
    <w:rsid w:val="006F3ACC"/>
    <w:rsid w:val="0071373B"/>
    <w:rsid w:val="0072491B"/>
    <w:rsid w:val="007943B5"/>
    <w:rsid w:val="007C18C7"/>
    <w:rsid w:val="007C2C42"/>
    <w:rsid w:val="007D23B3"/>
    <w:rsid w:val="007E11E1"/>
    <w:rsid w:val="007F0F88"/>
    <w:rsid w:val="0083246F"/>
    <w:rsid w:val="008752A4"/>
    <w:rsid w:val="008766E8"/>
    <w:rsid w:val="00893CCD"/>
    <w:rsid w:val="008A6680"/>
    <w:rsid w:val="008F2BBC"/>
    <w:rsid w:val="00921C24"/>
    <w:rsid w:val="00922C3B"/>
    <w:rsid w:val="009A2362"/>
    <w:rsid w:val="009C733B"/>
    <w:rsid w:val="009E2FF0"/>
    <w:rsid w:val="00A128F8"/>
    <w:rsid w:val="00A661BD"/>
    <w:rsid w:val="00AB2E36"/>
    <w:rsid w:val="00AB7B5B"/>
    <w:rsid w:val="00AC1474"/>
    <w:rsid w:val="00AC666E"/>
    <w:rsid w:val="00AD0368"/>
    <w:rsid w:val="00AD11F1"/>
    <w:rsid w:val="00AE27CA"/>
    <w:rsid w:val="00AE44FB"/>
    <w:rsid w:val="00B01188"/>
    <w:rsid w:val="00B04D8C"/>
    <w:rsid w:val="00B05A30"/>
    <w:rsid w:val="00B10876"/>
    <w:rsid w:val="00B32BD7"/>
    <w:rsid w:val="00B41415"/>
    <w:rsid w:val="00B43C65"/>
    <w:rsid w:val="00B61245"/>
    <w:rsid w:val="00B74E92"/>
    <w:rsid w:val="00B87405"/>
    <w:rsid w:val="00BC274B"/>
    <w:rsid w:val="00BC5DA1"/>
    <w:rsid w:val="00BC6B4A"/>
    <w:rsid w:val="00BE2726"/>
    <w:rsid w:val="00BE52B4"/>
    <w:rsid w:val="00C104FA"/>
    <w:rsid w:val="00C374BD"/>
    <w:rsid w:val="00C50054"/>
    <w:rsid w:val="00C73732"/>
    <w:rsid w:val="00C81A23"/>
    <w:rsid w:val="00CA2123"/>
    <w:rsid w:val="00CD7419"/>
    <w:rsid w:val="00CE7574"/>
    <w:rsid w:val="00CF7727"/>
    <w:rsid w:val="00D537C6"/>
    <w:rsid w:val="00D5519B"/>
    <w:rsid w:val="00D8299F"/>
    <w:rsid w:val="00DA1431"/>
    <w:rsid w:val="00DB5F9C"/>
    <w:rsid w:val="00E30E24"/>
    <w:rsid w:val="00E8027A"/>
    <w:rsid w:val="00EB70E3"/>
    <w:rsid w:val="00EC6187"/>
    <w:rsid w:val="00F319B8"/>
    <w:rsid w:val="00F55327"/>
    <w:rsid w:val="00F56B4C"/>
    <w:rsid w:val="00F81510"/>
    <w:rsid w:val="00FC1B77"/>
    <w:rsid w:val="00FD729A"/>
    <w:rsid w:val="00FF24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4474C"/>
  <w15:chartTrackingRefBased/>
  <w15:docId w15:val="{4A263C3B-8F5B-4897-83A7-94D9A83F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1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1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1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1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1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1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1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1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1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1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1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1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1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1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1B77"/>
    <w:rPr>
      <w:rFonts w:eastAsiaTheme="majorEastAsia" w:cstheme="majorBidi"/>
      <w:color w:val="272727" w:themeColor="text1" w:themeTint="D8"/>
    </w:rPr>
  </w:style>
  <w:style w:type="paragraph" w:styleId="Title">
    <w:name w:val="Title"/>
    <w:basedOn w:val="Normal"/>
    <w:next w:val="Normal"/>
    <w:link w:val="TitleChar"/>
    <w:uiPriority w:val="10"/>
    <w:qFormat/>
    <w:rsid w:val="00FC1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1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1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1B77"/>
    <w:pPr>
      <w:spacing w:before="160"/>
      <w:jc w:val="center"/>
    </w:pPr>
    <w:rPr>
      <w:i/>
      <w:iCs/>
      <w:color w:val="404040" w:themeColor="text1" w:themeTint="BF"/>
    </w:rPr>
  </w:style>
  <w:style w:type="character" w:customStyle="1" w:styleId="QuoteChar">
    <w:name w:val="Quote Char"/>
    <w:basedOn w:val="DefaultParagraphFont"/>
    <w:link w:val="Quote"/>
    <w:uiPriority w:val="29"/>
    <w:rsid w:val="00FC1B77"/>
    <w:rPr>
      <w:i/>
      <w:iCs/>
      <w:color w:val="404040" w:themeColor="text1" w:themeTint="BF"/>
    </w:rPr>
  </w:style>
  <w:style w:type="paragraph" w:styleId="ListParagraph">
    <w:name w:val="List Paragraph"/>
    <w:basedOn w:val="Normal"/>
    <w:uiPriority w:val="34"/>
    <w:qFormat/>
    <w:rsid w:val="00FC1B77"/>
    <w:pPr>
      <w:ind w:left="720"/>
      <w:contextualSpacing/>
    </w:pPr>
  </w:style>
  <w:style w:type="character" w:styleId="IntenseEmphasis">
    <w:name w:val="Intense Emphasis"/>
    <w:basedOn w:val="DefaultParagraphFont"/>
    <w:uiPriority w:val="21"/>
    <w:qFormat/>
    <w:rsid w:val="00FC1B77"/>
    <w:rPr>
      <w:i/>
      <w:iCs/>
      <w:color w:val="0F4761" w:themeColor="accent1" w:themeShade="BF"/>
    </w:rPr>
  </w:style>
  <w:style w:type="paragraph" w:styleId="IntenseQuote">
    <w:name w:val="Intense Quote"/>
    <w:basedOn w:val="Normal"/>
    <w:next w:val="Normal"/>
    <w:link w:val="IntenseQuoteChar"/>
    <w:uiPriority w:val="30"/>
    <w:qFormat/>
    <w:rsid w:val="00FC1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1B77"/>
    <w:rPr>
      <w:i/>
      <w:iCs/>
      <w:color w:val="0F4761" w:themeColor="accent1" w:themeShade="BF"/>
    </w:rPr>
  </w:style>
  <w:style w:type="character" w:styleId="IntenseReference">
    <w:name w:val="Intense Reference"/>
    <w:basedOn w:val="DefaultParagraphFont"/>
    <w:uiPriority w:val="32"/>
    <w:qFormat/>
    <w:rsid w:val="00FC1B77"/>
    <w:rPr>
      <w:b/>
      <w:bCs/>
      <w:smallCaps/>
      <w:color w:val="0F4761" w:themeColor="accent1" w:themeShade="BF"/>
      <w:spacing w:val="5"/>
    </w:rPr>
  </w:style>
  <w:style w:type="paragraph" w:styleId="Revision">
    <w:name w:val="Revision"/>
    <w:hidden/>
    <w:uiPriority w:val="99"/>
    <w:semiHidden/>
    <w:rsid w:val="005F29DF"/>
    <w:pPr>
      <w:spacing w:after="0" w:line="240" w:lineRule="auto"/>
    </w:pPr>
  </w:style>
  <w:style w:type="character" w:styleId="CommentReference">
    <w:name w:val="annotation reference"/>
    <w:basedOn w:val="DefaultParagraphFont"/>
    <w:uiPriority w:val="99"/>
    <w:semiHidden/>
    <w:unhideWhenUsed/>
    <w:rsid w:val="00AC666E"/>
    <w:rPr>
      <w:sz w:val="16"/>
      <w:szCs w:val="16"/>
    </w:rPr>
  </w:style>
  <w:style w:type="paragraph" w:styleId="CommentText">
    <w:name w:val="annotation text"/>
    <w:basedOn w:val="Normal"/>
    <w:link w:val="CommentTextChar"/>
    <w:uiPriority w:val="99"/>
    <w:unhideWhenUsed/>
    <w:rsid w:val="00AC666E"/>
    <w:pPr>
      <w:spacing w:line="240" w:lineRule="auto"/>
    </w:pPr>
    <w:rPr>
      <w:sz w:val="20"/>
      <w:szCs w:val="20"/>
    </w:rPr>
  </w:style>
  <w:style w:type="character" w:customStyle="1" w:styleId="CommentTextChar">
    <w:name w:val="Comment Text Char"/>
    <w:basedOn w:val="DefaultParagraphFont"/>
    <w:link w:val="CommentText"/>
    <w:uiPriority w:val="99"/>
    <w:rsid w:val="00AC666E"/>
    <w:rPr>
      <w:sz w:val="20"/>
      <w:szCs w:val="20"/>
    </w:rPr>
  </w:style>
  <w:style w:type="paragraph" w:styleId="CommentSubject">
    <w:name w:val="annotation subject"/>
    <w:basedOn w:val="CommentText"/>
    <w:next w:val="CommentText"/>
    <w:link w:val="CommentSubjectChar"/>
    <w:uiPriority w:val="99"/>
    <w:semiHidden/>
    <w:unhideWhenUsed/>
    <w:rsid w:val="00AC666E"/>
    <w:rPr>
      <w:b/>
      <w:bCs/>
    </w:rPr>
  </w:style>
  <w:style w:type="character" w:customStyle="1" w:styleId="CommentSubjectChar">
    <w:name w:val="Comment Subject Char"/>
    <w:basedOn w:val="CommentTextChar"/>
    <w:link w:val="CommentSubject"/>
    <w:uiPriority w:val="99"/>
    <w:semiHidden/>
    <w:rsid w:val="00AC666E"/>
    <w:rPr>
      <w:b/>
      <w:bCs/>
      <w:sz w:val="20"/>
      <w:szCs w:val="20"/>
    </w:rPr>
  </w:style>
  <w:style w:type="paragraph" w:styleId="Header">
    <w:name w:val="header"/>
    <w:basedOn w:val="Normal"/>
    <w:link w:val="HeaderChar"/>
    <w:uiPriority w:val="99"/>
    <w:unhideWhenUsed/>
    <w:rsid w:val="00FF2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452"/>
  </w:style>
  <w:style w:type="paragraph" w:styleId="Footer">
    <w:name w:val="footer"/>
    <w:basedOn w:val="Normal"/>
    <w:link w:val="FooterChar"/>
    <w:uiPriority w:val="99"/>
    <w:unhideWhenUsed/>
    <w:rsid w:val="00FF2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37353ec-9690-4382-8721-f9f18721ff99">
      <Terms xmlns="http://schemas.microsoft.com/office/infopath/2007/PartnerControls"/>
    </lcf76f155ced4ddcb4097134ff3c332f>
    <TaxCatchAll xmlns="87574e84-b07e-45bb-b60a-5e81dd0579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A0EC144379754499EE383F463F6C61" ma:contentTypeVersion="16" ma:contentTypeDescription="Crée un document." ma:contentTypeScope="" ma:versionID="c32a1cc607d1ad228098052ccd135069">
  <xsd:schema xmlns:xsd="http://www.w3.org/2001/XMLSchema" xmlns:xs="http://www.w3.org/2001/XMLSchema" xmlns:p="http://schemas.microsoft.com/office/2006/metadata/properties" xmlns:ns2="c37353ec-9690-4382-8721-f9f18721ff99" xmlns:ns3="87574e84-b07e-45bb-b60a-5e81dd05791a" targetNamespace="http://schemas.microsoft.com/office/2006/metadata/properties" ma:root="true" ma:fieldsID="c533fdf918e8a5b828710757e5c7611c" ns2:_="" ns3:_="">
    <xsd:import namespace="c37353ec-9690-4382-8721-f9f18721ff99"/>
    <xsd:import namespace="87574e84-b07e-45bb-b60a-5e81dd0579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7353ec-9690-4382-8721-f9f18721ff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0f0bbf06-b7fd-4c63-9ccb-2b4a61ab0b2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574e84-b07e-45bb-b60a-5e81dd05791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14681a7-4025-4944-85d3-67b1f288023e}" ma:internalName="TaxCatchAll" ma:showField="CatchAllData" ma:web="87574e84-b07e-45bb-b60a-5e81dd0579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B74A66-E702-48C1-BE11-57A80037B1E2}">
  <ds:schemaRefs>
    <ds:schemaRef ds:uri="http://schemas.microsoft.com/office/2006/metadata/properties"/>
    <ds:schemaRef ds:uri="http://schemas.microsoft.com/office/infopath/2007/PartnerControls"/>
    <ds:schemaRef ds:uri="c37353ec-9690-4382-8721-f9f18721ff99"/>
    <ds:schemaRef ds:uri="87574e84-b07e-45bb-b60a-5e81dd05791a"/>
  </ds:schemaRefs>
</ds:datastoreItem>
</file>

<file path=customXml/itemProps2.xml><?xml version="1.0" encoding="utf-8"?>
<ds:datastoreItem xmlns:ds="http://schemas.openxmlformats.org/officeDocument/2006/customXml" ds:itemID="{61FB0667-4DB2-43AD-8FE7-174E996DEB12}">
  <ds:schemaRefs>
    <ds:schemaRef ds:uri="http://schemas.microsoft.com/sharepoint/v3/contenttype/forms"/>
  </ds:schemaRefs>
</ds:datastoreItem>
</file>

<file path=customXml/itemProps3.xml><?xml version="1.0" encoding="utf-8"?>
<ds:datastoreItem xmlns:ds="http://schemas.openxmlformats.org/officeDocument/2006/customXml" ds:itemID="{43FF4A35-A4F1-4C4E-BF1E-B92D77F16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7353ec-9690-4382-8721-f9f18721ff99"/>
    <ds:schemaRef ds:uri="87574e84-b07e-45bb-b60a-5e81dd057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1287</Words>
  <Characters>7336</Characters>
  <Application>Microsoft Office Word</Application>
  <DocSecurity>0</DocSecurity>
  <Lines>61</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Ilaria Passarani</dc:creator>
  <cp:keywords/>
  <dc:description/>
  <cp:lastModifiedBy>Nikoleta Arnaudova</cp:lastModifiedBy>
  <cp:revision>2</cp:revision>
  <dcterms:created xsi:type="dcterms:W3CDTF">2026-08-31T08:18:00Z</dcterms:created>
  <dcterms:modified xsi:type="dcterms:W3CDTF">2026-08-31T08:18:00Z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0x010100B0A0EC144379754499EE383F463F6C61</vt:lpwstr>
  </property>
</Properties>
</file>