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C0A46" w14:textId="2FD83643" w:rsidR="001E7215" w:rsidRDefault="0043499C" w:rsidP="001E7215">
      <w:r>
        <w:t>L</w:t>
      </w:r>
      <w:r w:rsidR="001E7215">
        <w:t>OGOS</w:t>
      </w:r>
    </w:p>
    <w:p w14:paraId="14D2F9DF" w14:textId="77777777" w:rsidR="001E7215" w:rsidRPr="001E7215" w:rsidRDefault="001E7215" w:rsidP="001E7215">
      <w:pPr>
        <w:ind w:left="7200"/>
      </w:pPr>
      <w:r w:rsidRPr="001E7215">
        <w:rPr>
          <w:b/>
          <w:bCs/>
        </w:rPr>
        <w:t>Brussels, [date]</w:t>
      </w:r>
    </w:p>
    <w:p w14:paraId="7CC89CB3" w14:textId="77777777" w:rsidR="001E7215" w:rsidRDefault="001E7215" w:rsidP="001E7215">
      <w:pPr>
        <w:rPr>
          <w:b/>
          <w:bCs/>
        </w:rPr>
      </w:pPr>
    </w:p>
    <w:p w14:paraId="3730842D" w14:textId="77777777" w:rsidR="001E7215" w:rsidRPr="001E7215" w:rsidRDefault="001E7215" w:rsidP="00F2051A">
      <w:pPr>
        <w:jc w:val="center"/>
        <w:rPr>
          <w:b/>
          <w:bCs/>
        </w:rPr>
      </w:pPr>
      <w:r w:rsidRPr="001E7215">
        <w:rPr>
          <w:b/>
          <w:bCs/>
        </w:rPr>
        <w:t xml:space="preserve">Joint Statement on </w:t>
      </w:r>
      <w:r w:rsidR="003F0F26">
        <w:rPr>
          <w:b/>
          <w:bCs/>
        </w:rPr>
        <w:t>e</w:t>
      </w:r>
      <w:r w:rsidRPr="001E7215">
        <w:rPr>
          <w:b/>
          <w:bCs/>
        </w:rPr>
        <w:t xml:space="preserve">lectronic </w:t>
      </w:r>
      <w:r w:rsidR="003F0F26">
        <w:rPr>
          <w:b/>
          <w:bCs/>
        </w:rPr>
        <w:t>i</w:t>
      </w:r>
      <w:r w:rsidRPr="001E7215">
        <w:rPr>
          <w:b/>
          <w:bCs/>
        </w:rPr>
        <w:t xml:space="preserve">nstructions for </w:t>
      </w:r>
      <w:r w:rsidR="003F0F26">
        <w:rPr>
          <w:b/>
          <w:bCs/>
        </w:rPr>
        <w:t>u</w:t>
      </w:r>
      <w:r w:rsidRPr="001E7215">
        <w:rPr>
          <w:b/>
          <w:bCs/>
        </w:rPr>
        <w:t xml:space="preserve">se for </w:t>
      </w:r>
      <w:r w:rsidR="003F0F26">
        <w:rPr>
          <w:b/>
          <w:bCs/>
        </w:rPr>
        <w:t>m</w:t>
      </w:r>
      <w:r w:rsidRPr="001E7215">
        <w:rPr>
          <w:b/>
          <w:bCs/>
        </w:rPr>
        <w:t xml:space="preserve">edical </w:t>
      </w:r>
      <w:r w:rsidR="003F0F26">
        <w:rPr>
          <w:b/>
          <w:bCs/>
        </w:rPr>
        <w:t>d</w:t>
      </w:r>
      <w:r w:rsidRPr="001E7215">
        <w:rPr>
          <w:b/>
          <w:bCs/>
        </w:rPr>
        <w:t>evices</w:t>
      </w:r>
    </w:p>
    <w:p w14:paraId="5B4B83A5" w14:textId="3F2ABB31" w:rsidR="005B79E6" w:rsidRPr="005B79E6" w:rsidRDefault="00F9006F" w:rsidP="007A2D0E">
      <w:pPr>
        <w:jc w:val="both"/>
      </w:pPr>
      <w:r w:rsidRPr="004D36CE">
        <w:t>European o</w:t>
      </w:r>
      <w:r w:rsidR="00945188" w:rsidRPr="004D36CE">
        <w:t>rganizations representing p</w:t>
      </w:r>
      <w:r w:rsidR="009E7A1C" w:rsidRPr="004D36CE">
        <w:t>atients, doctors, nurses, community and hospital pharmacists,</w:t>
      </w:r>
      <w:r w:rsidR="00BE117B">
        <w:t xml:space="preserve"> dentists,</w:t>
      </w:r>
      <w:r w:rsidR="009E7A1C" w:rsidRPr="004D36CE">
        <w:t xml:space="preserve"> hospitals and healthcare services, consumers, health insurance funds and not-for-profit health mutuals, and </w:t>
      </w:r>
      <w:r w:rsidR="00237CC1">
        <w:t>people</w:t>
      </w:r>
      <w:r w:rsidR="00237CC1" w:rsidRPr="004D36CE">
        <w:t xml:space="preserve"> </w:t>
      </w:r>
      <w:r w:rsidR="009E7A1C" w:rsidRPr="004D36CE">
        <w:t xml:space="preserve">with disabilities </w:t>
      </w:r>
      <w:r w:rsidR="009E7A1C" w:rsidRPr="004D36CE">
        <w:rPr>
          <w:i/>
          <w:iCs/>
        </w:rPr>
        <w:t xml:space="preserve">(to be adapted according to the signatories) </w:t>
      </w:r>
      <w:r w:rsidR="009E7A1C" w:rsidRPr="00F9006F">
        <w:t>call on EU legislators to ensure that paper instructions for use continue to accompany medical devices</w:t>
      </w:r>
      <w:r w:rsidR="00B37159">
        <w:t xml:space="preserve"> whenever</w:t>
      </w:r>
      <w:r w:rsidR="002508CA">
        <w:t xml:space="preserve"> such instructions are already required</w:t>
      </w:r>
      <w:r w:rsidR="00B56068">
        <w:rPr>
          <w:rStyle w:val="FootnoteReference"/>
        </w:rPr>
        <w:footnoteReference w:id="1"/>
      </w:r>
      <w:r w:rsidR="009E7A1C" w:rsidRPr="00F9006F">
        <w:t xml:space="preserve"> </w:t>
      </w:r>
      <w:r w:rsidR="00BE117B">
        <w:t>.</w:t>
      </w:r>
      <w:r w:rsidR="009E7A1C" w:rsidRPr="00F9006F">
        <w:t xml:space="preserve">Electronic </w:t>
      </w:r>
      <w:r w:rsidR="009E7A1C">
        <w:t>Instructions for Use (</w:t>
      </w:r>
      <w:proofErr w:type="spellStart"/>
      <w:r w:rsidR="009E7A1C">
        <w:t>eIFU</w:t>
      </w:r>
      <w:proofErr w:type="spellEnd"/>
      <w:r w:rsidR="009E7A1C">
        <w:t>) should</w:t>
      </w:r>
      <w:r w:rsidR="00BE117B">
        <w:t xml:space="preserve"> </w:t>
      </w:r>
      <w:r w:rsidR="00276E01">
        <w:t>complement</w:t>
      </w:r>
      <w:r w:rsidR="009E7A1C">
        <w:t>, not replace, paper information.</w:t>
      </w:r>
    </w:p>
    <w:p w14:paraId="2BEDA0D9" w14:textId="77777777" w:rsidR="00E32FCE" w:rsidRDefault="00E32FCE" w:rsidP="00E32FCE">
      <w:pPr>
        <w:jc w:val="both"/>
      </w:pPr>
      <w:r>
        <w:t xml:space="preserve">The signatories do not oppose the use of electronic instructions for use in the limited circumstances already permitted by Commission Implementing Regulation (EU) 2021/2226, as amended, </w:t>
      </w:r>
      <w:proofErr w:type="gramStart"/>
      <w:r>
        <w:t>provided that</w:t>
      </w:r>
      <w:proofErr w:type="gramEnd"/>
      <w:r>
        <w:t xml:space="preserve"> manufacturers comply with the applicable safeguards, including the obligation to make paper instructions available on request. However, the revision of the Medical Devices Regulation (MDR) should not broadly extend the use of electronic-only instructions, particularly for devices that are not intended exclusively for professional use.</w:t>
      </w:r>
    </w:p>
    <w:p w14:paraId="38CC09B1" w14:textId="4B9F7A4B" w:rsidR="005B79E6" w:rsidRPr="005B79E6" w:rsidRDefault="005B79E6" w:rsidP="007A2D0E">
      <w:pPr>
        <w:jc w:val="both"/>
      </w:pPr>
      <w:r w:rsidRPr="005B79E6">
        <w:t xml:space="preserve">Digital tools can improve access to information by offering updates, larger fonts, audio or video support, multiple languages and accessible formats. However, </w:t>
      </w:r>
      <w:r w:rsidR="00F57829">
        <w:t xml:space="preserve">where </w:t>
      </w:r>
      <w:r w:rsidRPr="005B79E6">
        <w:t xml:space="preserve">instructions </w:t>
      </w:r>
      <w:r w:rsidR="00F57829">
        <w:t xml:space="preserve">for use are </w:t>
      </w:r>
      <w:r w:rsidR="004B3513">
        <w:t xml:space="preserve">required, </w:t>
      </w:r>
      <w:r w:rsidRPr="005B79E6">
        <w:t>they are essential for safe use, correct handling and the prevention of avoidable harm.</w:t>
      </w:r>
    </w:p>
    <w:p w14:paraId="069C9C27" w14:textId="03AA6ABD" w:rsidR="005B79E6" w:rsidRPr="005B79E6" w:rsidRDefault="005B79E6" w:rsidP="007A2D0E">
      <w:pPr>
        <w:jc w:val="both"/>
      </w:pPr>
      <w:r>
        <w:t>Medical devices can be used in situations of stress, urgency or vulnerability, and in settings where professional support, internet access or digital tools may not be immediately available. Patients, carers and healthcare professionals may need immediate access to instructions on how to assemble, apply, calibrate, clean, store, troubleshoot</w:t>
      </w:r>
      <w:r w:rsidR="00237CC1">
        <w:t>ing</w:t>
      </w:r>
      <w:r>
        <w:t xml:space="preserve"> or safely dispose of a device. Requiring users to scan </w:t>
      </w:r>
      <w:proofErr w:type="gramStart"/>
      <w:r>
        <w:t>a QR</w:t>
      </w:r>
      <w:proofErr w:type="gramEnd"/>
      <w:r>
        <w:t xml:space="preserve"> code, search a website or download a file can delay use by introducing unnecessary and burdensome steps in accessing essential information, thereby increasing the risk of errors and harm.</w:t>
      </w:r>
    </w:p>
    <w:p w14:paraId="411F3745" w14:textId="29A0015F" w:rsidR="005B79E6" w:rsidRPr="00D3632A" w:rsidRDefault="00B03E0F" w:rsidP="007A2D0E">
      <w:pPr>
        <w:jc w:val="both"/>
      </w:pPr>
      <w:r>
        <w:t>E</w:t>
      </w:r>
      <w:r w:rsidR="005B79E6">
        <w:t>lectronic-only instructions also risk deepening the digital divide</w:t>
      </w:r>
      <w:r w:rsidR="006364B5">
        <w:t>,</w:t>
      </w:r>
      <w:r w:rsidR="005171DD">
        <w:t xml:space="preserve"> </w:t>
      </w:r>
      <w:r w:rsidR="006364B5">
        <w:t>generating inequalities</w:t>
      </w:r>
      <w:r w:rsidR="00373DA7">
        <w:t xml:space="preserve">. </w:t>
      </w:r>
      <w:r w:rsidR="005B79E6">
        <w:t xml:space="preserve">Not every user has a suitable device, the necessary digital skills, internet access or the ability to read information on a screen at the exact moment of need. Some users may be disproportionately affected, particularly </w:t>
      </w:r>
      <w:r w:rsidR="001F2361">
        <w:t>elders</w:t>
      </w:r>
      <w:r w:rsidR="005B79E6">
        <w:t xml:space="preserve">, </w:t>
      </w:r>
      <w:r w:rsidR="00F02846">
        <w:t>people</w:t>
      </w:r>
      <w:r w:rsidR="005B79E6">
        <w:t xml:space="preserve"> with disabilities, vulnerable patients, people with low digital literacy and those living in rural or low-connectivity areas. Furthermore, </w:t>
      </w:r>
      <w:r w:rsidR="00BA4AEF">
        <w:t xml:space="preserve">emergencies and other </w:t>
      </w:r>
      <w:r w:rsidR="005B79E6">
        <w:t>disruption</w:t>
      </w:r>
      <w:r w:rsidR="00BA4AEF">
        <w:t>s</w:t>
      </w:r>
      <w:r w:rsidR="005B79E6">
        <w:t xml:space="preserve"> such as floods, power outages or </w:t>
      </w:r>
      <w:r w:rsidR="00E65A07">
        <w:t xml:space="preserve">cyber incidents </w:t>
      </w:r>
      <w:r w:rsidR="005B79E6">
        <w:t xml:space="preserve">might </w:t>
      </w:r>
      <w:r w:rsidR="00627030" w:rsidRPr="00627030">
        <w:t>make electronic instructions inaccessible by disrupting internet connectivity, electricity supplies or device battery life.</w:t>
      </w:r>
    </w:p>
    <w:p w14:paraId="65982742" w14:textId="38116502" w:rsidR="005B79E6" w:rsidRPr="005B79E6" w:rsidRDefault="005B79E6" w:rsidP="007A2D0E">
      <w:pPr>
        <w:jc w:val="both"/>
      </w:pPr>
      <w:r>
        <w:lastRenderedPageBreak/>
        <w:t>Paper instructions provide an essential and reliable fallback during service disruptions, including power cuts, cyber incidents, hospital IT outages, lack of mobile coverage and website downtime.</w:t>
      </w:r>
    </w:p>
    <w:p w14:paraId="1926FCF9" w14:textId="39B56623" w:rsidR="005B79E6" w:rsidRPr="005B79E6" w:rsidRDefault="005B79E6" w:rsidP="007A2D0E">
      <w:pPr>
        <w:jc w:val="both"/>
      </w:pPr>
      <w:r>
        <w:t xml:space="preserve">Privacy must also be protected. Accessing electronic instructions may reveal sensitive information about a person’s health condition, disability, treatment, pregnancy status or use of specific devices. Users should be able to access essential safety information without being tracked or enabling manufacturers, digital platforms, advertisers or other third parties to collect or infer health-related information about them. It is also important to ensure that </w:t>
      </w:r>
      <w:proofErr w:type="spellStart"/>
      <w:r>
        <w:t>eIFU</w:t>
      </w:r>
      <w:proofErr w:type="spellEnd"/>
      <w:r>
        <w:t xml:space="preserve"> provides approved information only and is not used to deliver promotional information. It should be published as open data, freely accessible for use and reuse. To ensure that </w:t>
      </w:r>
      <w:proofErr w:type="spellStart"/>
      <w:r>
        <w:t>eIFU</w:t>
      </w:r>
      <w:proofErr w:type="spellEnd"/>
      <w:r>
        <w:t xml:space="preserve"> remains a trusted and non-promotional source, patients should be directed to </w:t>
      </w:r>
      <w:proofErr w:type="spellStart"/>
      <w:r>
        <w:t>eIFU</w:t>
      </w:r>
      <w:proofErr w:type="spellEnd"/>
      <w:r>
        <w:t xml:space="preserve"> stored by independent and official sources, such as national competent authorities’ websites. Where available, electronic instructions for use should also be accessible through EUDAMED.</w:t>
      </w:r>
    </w:p>
    <w:p w14:paraId="1DA4DBF8" w14:textId="71A68FFF" w:rsidR="00106EDD" w:rsidRPr="005B79E6" w:rsidRDefault="005B79E6" w:rsidP="00106EDD">
      <w:pPr>
        <w:jc w:val="both"/>
      </w:pPr>
      <w:r>
        <w:t>Finally, responsibility for providing complete, approved and accessible instructions with the medical device must remain with manufacturers. Removing paper instructions would risk shifting the burden to patients, consumers, carers, pharmacists, nurses, hospitals and other healthcare professionals, who may be forced to search, download, print, explain or store information themselves, adding a deterring and avoidable burden to an already overstretched healthcare workforce</w:t>
      </w:r>
      <w:r w:rsidR="00456F46">
        <w:t>.</w:t>
      </w:r>
      <w:r w:rsidR="00456F46" w:rsidRPr="00456F46">
        <w:t xml:space="preserve"> </w:t>
      </w:r>
      <w:r w:rsidR="00456F46">
        <w:t xml:space="preserve">Moreover, some medical devices may be sold in supermarkets or through vending machines, </w:t>
      </w:r>
      <w:r w:rsidR="00456F46" w:rsidRPr="00106EDD">
        <w:t>where the printing of instructions for use is highly unlikely to occur</w:t>
      </w:r>
      <w:r w:rsidR="00456F46">
        <w:t>.</w:t>
      </w:r>
    </w:p>
    <w:p w14:paraId="782FEA8F" w14:textId="77777777" w:rsidR="004144BB" w:rsidRDefault="004144BB" w:rsidP="007A2D0E">
      <w:pPr>
        <w:jc w:val="both"/>
        <w:rPr>
          <w:b/>
          <w:bCs/>
        </w:rPr>
      </w:pPr>
    </w:p>
    <w:p w14:paraId="6146563A" w14:textId="77777777" w:rsidR="005B79E6" w:rsidRPr="005B79E6" w:rsidRDefault="005B79E6" w:rsidP="007A2D0E">
      <w:pPr>
        <w:jc w:val="both"/>
        <w:rPr>
          <w:b/>
          <w:bCs/>
        </w:rPr>
      </w:pPr>
      <w:r w:rsidRPr="005B79E6">
        <w:rPr>
          <w:b/>
          <w:bCs/>
        </w:rPr>
        <w:t>Our call</w:t>
      </w:r>
    </w:p>
    <w:p w14:paraId="6266C6A9" w14:textId="77777777" w:rsidR="005B79E6" w:rsidRPr="005B79E6" w:rsidRDefault="005B79E6" w:rsidP="007A2D0E">
      <w:pPr>
        <w:jc w:val="both"/>
      </w:pPr>
      <w:r w:rsidRPr="005B79E6">
        <w:t xml:space="preserve">The signatory </w:t>
      </w:r>
      <w:proofErr w:type="spellStart"/>
      <w:r w:rsidRPr="005B79E6">
        <w:t>organisations</w:t>
      </w:r>
      <w:proofErr w:type="spellEnd"/>
      <w:r w:rsidRPr="005B79E6">
        <w:t xml:space="preserve"> call on EU co-legislators to ensure that the revision of the medical </w:t>
      </w:r>
      <w:proofErr w:type="gramStart"/>
      <w:r w:rsidRPr="005B79E6">
        <w:t>devices</w:t>
      </w:r>
      <w:proofErr w:type="gramEnd"/>
      <w:r w:rsidRPr="005B79E6">
        <w:t xml:space="preserve"> legislation</w:t>
      </w:r>
      <w:proofErr w:type="gramStart"/>
      <w:r w:rsidRPr="005B79E6">
        <w:t>:</w:t>
      </w:r>
      <w:proofErr w:type="gramEnd"/>
    </w:p>
    <w:p w14:paraId="1BE02833" w14:textId="3A9F7DA7" w:rsidR="005B79E6" w:rsidRPr="005B79E6" w:rsidRDefault="005B79E6" w:rsidP="007A2D0E">
      <w:pPr>
        <w:numPr>
          <w:ilvl w:val="0"/>
          <w:numId w:val="2"/>
        </w:numPr>
        <w:jc w:val="both"/>
      </w:pPr>
      <w:r>
        <w:t>preserves patients’ access to paper instructions for use provided by manufacturers, ensuring safe use by healthcare professionals and lay users and avoiding a transfer of responsibility to healthcare professionals;</w:t>
      </w:r>
    </w:p>
    <w:p w14:paraId="0172E819" w14:textId="77777777" w:rsidR="005B79E6" w:rsidRPr="005B79E6" w:rsidRDefault="005B79E6" w:rsidP="007A2D0E">
      <w:pPr>
        <w:numPr>
          <w:ilvl w:val="0"/>
          <w:numId w:val="2"/>
        </w:numPr>
        <w:jc w:val="both"/>
      </w:pPr>
      <w:r w:rsidRPr="005B79E6">
        <w:t>prevents electronic instructions from becoming the only source of essential safety information;</w:t>
      </w:r>
    </w:p>
    <w:p w14:paraId="303ECA12" w14:textId="77777777" w:rsidR="005B79E6" w:rsidRPr="005B79E6" w:rsidRDefault="005B79E6" w:rsidP="007A2D0E">
      <w:pPr>
        <w:numPr>
          <w:ilvl w:val="0"/>
          <w:numId w:val="2"/>
        </w:numPr>
        <w:jc w:val="both"/>
      </w:pPr>
      <w:r>
        <w:t>ensures that accurate and up-to-date digital instructions remain complementary, accessible, non-promotional, privacy-protective and available in all required languages;</w:t>
      </w:r>
    </w:p>
    <w:p w14:paraId="73DAD6D9" w14:textId="0EC2C153" w:rsidR="005B79E6" w:rsidRPr="005B79E6" w:rsidRDefault="005B79E6" w:rsidP="007A2D0E">
      <w:pPr>
        <w:numPr>
          <w:ilvl w:val="0"/>
          <w:numId w:val="2"/>
        </w:numPr>
        <w:jc w:val="both"/>
      </w:pPr>
      <w:r>
        <w:t xml:space="preserve">protects vulnerable users, </w:t>
      </w:r>
      <w:r w:rsidR="00E2724A">
        <w:t xml:space="preserve">people </w:t>
      </w:r>
      <w:r>
        <w:t xml:space="preserve">with disabilities, </w:t>
      </w:r>
      <w:r w:rsidR="009C2483">
        <w:t>elder</w:t>
      </w:r>
      <w:r w:rsidR="00E2724A">
        <w:t xml:space="preserve">s, </w:t>
      </w:r>
      <w:r>
        <w:t>and those affected by the digital divide, guaranteeing all patients equitable and appropriate access to information on the use and risks of the device.</w:t>
      </w:r>
    </w:p>
    <w:p w14:paraId="2D714505" w14:textId="77777777" w:rsidR="005B79E6" w:rsidRPr="005B79E6" w:rsidRDefault="005B79E6" w:rsidP="007A2D0E">
      <w:pPr>
        <w:jc w:val="both"/>
      </w:pPr>
      <w:proofErr w:type="spellStart"/>
      <w:r w:rsidRPr="005B79E6">
        <w:t>Digitalisation</w:t>
      </w:r>
      <w:proofErr w:type="spellEnd"/>
      <w:r w:rsidRPr="005B79E6">
        <w:t xml:space="preserve"> should make health information safer, clearer and more accessible. It should not create new barriers, new risks or new responsibilities for the people who rely on medical devices every day.</w:t>
      </w:r>
    </w:p>
    <w:p w14:paraId="6D71AE8D" w14:textId="77777777" w:rsidR="005B79E6" w:rsidRDefault="005B79E6"/>
    <w:p w14:paraId="3D4239FB" w14:textId="77777777" w:rsidR="00617E58" w:rsidRDefault="00617E58">
      <w:r w:rsidRPr="00617E58">
        <w:rPr>
          <w:highlight w:val="yellow"/>
        </w:rPr>
        <w:t>Name and description of the signatories</w:t>
      </w:r>
      <w:r>
        <w:t xml:space="preserve"> </w:t>
      </w:r>
    </w:p>
    <w:p w14:paraId="4F229B52" w14:textId="3E0CB8A5" w:rsidR="0043499C" w:rsidRDefault="0043499C" w:rsidP="0043499C">
      <w:pPr>
        <w:jc w:val="both"/>
      </w:pPr>
      <w:r>
        <w:t xml:space="preserve">Council of European Dentists (CED): </w:t>
      </w:r>
      <w:r w:rsidRPr="0043499C">
        <w:rPr>
          <w:i/>
          <w:iCs/>
        </w:rPr>
        <w:t>The</w:t>
      </w:r>
      <w:r>
        <w:rPr>
          <w:i/>
          <w:iCs/>
        </w:rPr>
        <w:t xml:space="preserve"> </w:t>
      </w:r>
      <w:r w:rsidRPr="0043499C">
        <w:rPr>
          <w:i/>
          <w:iCs/>
        </w:rPr>
        <w:t>CED is a European not-for-profit association which represents over 350,000 dentists across Europe.</w:t>
      </w:r>
      <w:r w:rsidRPr="0043499C">
        <w:rPr>
          <w:i/>
          <w:iCs/>
        </w:rPr>
        <w:t xml:space="preserve"> </w:t>
      </w:r>
      <w:r w:rsidRPr="0043499C">
        <w:rPr>
          <w:i/>
          <w:iCs/>
        </w:rPr>
        <w:t>The association was established in 1961 and is now composed of 32 national dental associations from 30 European countries.</w:t>
      </w:r>
    </w:p>
    <w:sectPr w:rsidR="0043499C" w:rsidSect="0043499C">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004F6" w14:textId="77777777" w:rsidR="00C7124D" w:rsidRDefault="00C7124D" w:rsidP="00B84852">
      <w:pPr>
        <w:spacing w:after="0" w:line="240" w:lineRule="auto"/>
      </w:pPr>
      <w:r>
        <w:separator/>
      </w:r>
    </w:p>
  </w:endnote>
  <w:endnote w:type="continuationSeparator" w:id="0">
    <w:p w14:paraId="7DEE21BB" w14:textId="77777777" w:rsidR="00C7124D" w:rsidRDefault="00C7124D" w:rsidP="00B84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AF463" w14:textId="7DBBEAC9" w:rsidR="00316920" w:rsidRDefault="00316920">
    <w:pPr>
      <w:pStyle w:val="Footer"/>
    </w:pPr>
  </w:p>
  <w:p w14:paraId="33ECAC99" w14:textId="77777777" w:rsidR="00316920" w:rsidRDefault="003169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6A10F" w14:textId="77777777" w:rsidR="00C7124D" w:rsidRDefault="00C7124D" w:rsidP="00B84852">
      <w:pPr>
        <w:spacing w:after="0" w:line="240" w:lineRule="auto"/>
      </w:pPr>
      <w:r>
        <w:separator/>
      </w:r>
    </w:p>
  </w:footnote>
  <w:footnote w:type="continuationSeparator" w:id="0">
    <w:p w14:paraId="1D2A9329" w14:textId="77777777" w:rsidR="00C7124D" w:rsidRDefault="00C7124D" w:rsidP="00B84852">
      <w:pPr>
        <w:spacing w:after="0" w:line="240" w:lineRule="auto"/>
      </w:pPr>
      <w:r>
        <w:continuationSeparator/>
      </w:r>
    </w:p>
  </w:footnote>
  <w:footnote w:id="1">
    <w:p w14:paraId="4718E88A" w14:textId="77777777" w:rsidR="00B56068" w:rsidRPr="00316920" w:rsidRDefault="00B56068" w:rsidP="00B56068">
      <w:pPr>
        <w:jc w:val="both"/>
        <w:rPr>
          <w:sz w:val="16"/>
          <w:szCs w:val="16"/>
        </w:rPr>
      </w:pPr>
      <w:r>
        <w:rPr>
          <w:rStyle w:val="FootnoteReference"/>
        </w:rPr>
        <w:footnoteRef/>
      </w:r>
      <w:r>
        <w:t xml:space="preserve"> </w:t>
      </w:r>
      <w:r w:rsidRPr="00316920">
        <w:rPr>
          <w:sz w:val="16"/>
          <w:szCs w:val="16"/>
        </w:rPr>
        <w:t>Under the current rules, instructions for use are not required for every medical device. Annex I, Chapter III, Section 23.1(d) of Regulation (EU) 2017/745 provides that instructions for use may be omitted for class I and class IIa devices that can be used safely without them, unless otherwise required elsewhere in Section 23. Accordingly, references in this statement to instructions accompanying medical devices concern devices for which instructions for use are legally required.</w:t>
      </w:r>
    </w:p>
    <w:p w14:paraId="43501834" w14:textId="219DD3DF" w:rsidR="00B56068" w:rsidRPr="00B56068" w:rsidRDefault="00B5606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CDC74" w14:textId="7BA0CCD4" w:rsidR="0043499C" w:rsidRPr="001A6E58" w:rsidRDefault="001A6E58" w:rsidP="001A6E58">
    <w:pPr>
      <w:pStyle w:val="Header"/>
    </w:pPr>
    <w:r>
      <w:rPr>
        <w:noProof/>
      </w:rPr>
      <w:drawing>
        <wp:inline distT="0" distB="0" distL="0" distR="0" wp14:anchorId="62DEDFDE" wp14:editId="588C27EF">
          <wp:extent cx="1024217" cy="1213209"/>
          <wp:effectExtent l="0" t="0" r="0" b="0"/>
          <wp:docPr id="1891623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23369" name="Picture 1891623369"/>
                  <pic:cNvPicPr/>
                </pic:nvPicPr>
                <pic:blipFill>
                  <a:blip r:embed="rId1">
                    <a:extLst>
                      <a:ext uri="{28A0092B-C50C-407E-A947-70E740481C1C}">
                        <a14:useLocalDpi xmlns:a14="http://schemas.microsoft.com/office/drawing/2010/main" val="0"/>
                      </a:ext>
                    </a:extLst>
                  </a:blip>
                  <a:stretch>
                    <a:fillRect/>
                  </a:stretch>
                </pic:blipFill>
                <pic:spPr>
                  <a:xfrm>
                    <a:off x="0" y="0"/>
                    <a:ext cx="1024217" cy="121320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5E4"/>
    <w:multiLevelType w:val="multilevel"/>
    <w:tmpl w:val="E0688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D42B29"/>
    <w:multiLevelType w:val="multilevel"/>
    <w:tmpl w:val="1D3AB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3944145">
    <w:abstractNumId w:val="0"/>
  </w:num>
  <w:num w:numId="2" w16cid:durableId="282544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EA9"/>
    <w:rsid w:val="000118E2"/>
    <w:rsid w:val="00015B6C"/>
    <w:rsid w:val="00027D4D"/>
    <w:rsid w:val="00070DB1"/>
    <w:rsid w:val="00106EDD"/>
    <w:rsid w:val="001A6E58"/>
    <w:rsid w:val="001E7215"/>
    <w:rsid w:val="001F2361"/>
    <w:rsid w:val="0022148E"/>
    <w:rsid w:val="00237CC1"/>
    <w:rsid w:val="00241761"/>
    <w:rsid w:val="002508CA"/>
    <w:rsid w:val="00257D3E"/>
    <w:rsid w:val="00276E01"/>
    <w:rsid w:val="00293BE0"/>
    <w:rsid w:val="00295EB6"/>
    <w:rsid w:val="002C5B77"/>
    <w:rsid w:val="002F44F0"/>
    <w:rsid w:val="002F4573"/>
    <w:rsid w:val="00316920"/>
    <w:rsid w:val="00373DA7"/>
    <w:rsid w:val="003969B6"/>
    <w:rsid w:val="003C6C98"/>
    <w:rsid w:val="003D1BEC"/>
    <w:rsid w:val="003E12E6"/>
    <w:rsid w:val="003F0F26"/>
    <w:rsid w:val="003F2371"/>
    <w:rsid w:val="004144BB"/>
    <w:rsid w:val="004259C9"/>
    <w:rsid w:val="0043499C"/>
    <w:rsid w:val="00456F46"/>
    <w:rsid w:val="004B3513"/>
    <w:rsid w:val="004D36CE"/>
    <w:rsid w:val="00513B13"/>
    <w:rsid w:val="005171DD"/>
    <w:rsid w:val="00554B6E"/>
    <w:rsid w:val="005647B0"/>
    <w:rsid w:val="005B2802"/>
    <w:rsid w:val="005B79E6"/>
    <w:rsid w:val="005F40B2"/>
    <w:rsid w:val="00617307"/>
    <w:rsid w:val="00617E58"/>
    <w:rsid w:val="00627030"/>
    <w:rsid w:val="006364B5"/>
    <w:rsid w:val="00675D02"/>
    <w:rsid w:val="006C2A20"/>
    <w:rsid w:val="006F49EA"/>
    <w:rsid w:val="007025C7"/>
    <w:rsid w:val="00733059"/>
    <w:rsid w:val="007A2D0E"/>
    <w:rsid w:val="00823FEE"/>
    <w:rsid w:val="0083246F"/>
    <w:rsid w:val="008421D7"/>
    <w:rsid w:val="0084240C"/>
    <w:rsid w:val="00872A3D"/>
    <w:rsid w:val="008752A4"/>
    <w:rsid w:val="008D2437"/>
    <w:rsid w:val="008D5EA9"/>
    <w:rsid w:val="008F5CF3"/>
    <w:rsid w:val="00916ED4"/>
    <w:rsid w:val="00921C24"/>
    <w:rsid w:val="00945188"/>
    <w:rsid w:val="009B1170"/>
    <w:rsid w:val="009B5E0C"/>
    <w:rsid w:val="009C2483"/>
    <w:rsid w:val="009E7A1C"/>
    <w:rsid w:val="00A249A2"/>
    <w:rsid w:val="00A36A4E"/>
    <w:rsid w:val="00AC0487"/>
    <w:rsid w:val="00B03E0F"/>
    <w:rsid w:val="00B22A25"/>
    <w:rsid w:val="00B24ADE"/>
    <w:rsid w:val="00B34F52"/>
    <w:rsid w:val="00B37159"/>
    <w:rsid w:val="00B56068"/>
    <w:rsid w:val="00B84852"/>
    <w:rsid w:val="00B90A7C"/>
    <w:rsid w:val="00BA4AEF"/>
    <w:rsid w:val="00BE0FF6"/>
    <w:rsid w:val="00BE117B"/>
    <w:rsid w:val="00BE11DD"/>
    <w:rsid w:val="00BE4CCF"/>
    <w:rsid w:val="00C170EE"/>
    <w:rsid w:val="00C578F4"/>
    <w:rsid w:val="00C7124D"/>
    <w:rsid w:val="00D03B84"/>
    <w:rsid w:val="00D1738B"/>
    <w:rsid w:val="00D3632A"/>
    <w:rsid w:val="00D40F5B"/>
    <w:rsid w:val="00E2724A"/>
    <w:rsid w:val="00E31EB7"/>
    <w:rsid w:val="00E32FCE"/>
    <w:rsid w:val="00E51B3E"/>
    <w:rsid w:val="00E65A07"/>
    <w:rsid w:val="00EA6074"/>
    <w:rsid w:val="00EB606A"/>
    <w:rsid w:val="00F02846"/>
    <w:rsid w:val="00F048AC"/>
    <w:rsid w:val="00F2051A"/>
    <w:rsid w:val="00F57829"/>
    <w:rsid w:val="00F9006F"/>
    <w:rsid w:val="00F96021"/>
    <w:rsid w:val="00FD5016"/>
    <w:rsid w:val="00FD58D2"/>
    <w:rsid w:val="17D53371"/>
    <w:rsid w:val="4F59647F"/>
    <w:rsid w:val="7A9023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FB450"/>
  <w15:chartTrackingRefBased/>
  <w15:docId w15:val="{BDFACD7A-E357-4C5C-AFBA-8D28CB196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5E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5E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5E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5E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5E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5E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5E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5E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5E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E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5E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5E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5E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5E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5E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5E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5E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5EA9"/>
    <w:rPr>
      <w:rFonts w:eastAsiaTheme="majorEastAsia" w:cstheme="majorBidi"/>
      <w:color w:val="272727" w:themeColor="text1" w:themeTint="D8"/>
    </w:rPr>
  </w:style>
  <w:style w:type="paragraph" w:styleId="Title">
    <w:name w:val="Title"/>
    <w:basedOn w:val="Normal"/>
    <w:next w:val="Normal"/>
    <w:link w:val="TitleChar"/>
    <w:uiPriority w:val="10"/>
    <w:qFormat/>
    <w:rsid w:val="008D5E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5E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5E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5E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5EA9"/>
    <w:pPr>
      <w:spacing w:before="160"/>
      <w:jc w:val="center"/>
    </w:pPr>
    <w:rPr>
      <w:i/>
      <w:iCs/>
      <w:color w:val="404040" w:themeColor="text1" w:themeTint="BF"/>
    </w:rPr>
  </w:style>
  <w:style w:type="character" w:customStyle="1" w:styleId="QuoteChar">
    <w:name w:val="Quote Char"/>
    <w:basedOn w:val="DefaultParagraphFont"/>
    <w:link w:val="Quote"/>
    <w:uiPriority w:val="29"/>
    <w:rsid w:val="008D5EA9"/>
    <w:rPr>
      <w:i/>
      <w:iCs/>
      <w:color w:val="404040" w:themeColor="text1" w:themeTint="BF"/>
    </w:rPr>
  </w:style>
  <w:style w:type="paragraph" w:styleId="ListParagraph">
    <w:name w:val="List Paragraph"/>
    <w:basedOn w:val="Normal"/>
    <w:uiPriority w:val="34"/>
    <w:qFormat/>
    <w:rsid w:val="008D5EA9"/>
    <w:pPr>
      <w:ind w:left="720"/>
      <w:contextualSpacing/>
    </w:pPr>
  </w:style>
  <w:style w:type="character" w:styleId="IntenseEmphasis">
    <w:name w:val="Intense Emphasis"/>
    <w:basedOn w:val="DefaultParagraphFont"/>
    <w:uiPriority w:val="21"/>
    <w:qFormat/>
    <w:rsid w:val="008D5EA9"/>
    <w:rPr>
      <w:i/>
      <w:iCs/>
      <w:color w:val="0F4761" w:themeColor="accent1" w:themeShade="BF"/>
    </w:rPr>
  </w:style>
  <w:style w:type="paragraph" w:styleId="IntenseQuote">
    <w:name w:val="Intense Quote"/>
    <w:basedOn w:val="Normal"/>
    <w:next w:val="Normal"/>
    <w:link w:val="IntenseQuoteChar"/>
    <w:uiPriority w:val="30"/>
    <w:qFormat/>
    <w:rsid w:val="008D5E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5EA9"/>
    <w:rPr>
      <w:i/>
      <w:iCs/>
      <w:color w:val="0F4761" w:themeColor="accent1" w:themeShade="BF"/>
    </w:rPr>
  </w:style>
  <w:style w:type="character" w:styleId="IntenseReference">
    <w:name w:val="Intense Reference"/>
    <w:basedOn w:val="DefaultParagraphFont"/>
    <w:uiPriority w:val="32"/>
    <w:qFormat/>
    <w:rsid w:val="008D5EA9"/>
    <w:rPr>
      <w:b/>
      <w:bCs/>
      <w:smallCaps/>
      <w:color w:val="0F4761" w:themeColor="accent1" w:themeShade="BF"/>
      <w:spacing w:val="5"/>
    </w:rPr>
  </w:style>
  <w:style w:type="character" w:styleId="Hyperlink">
    <w:name w:val="Hyperlink"/>
    <w:basedOn w:val="DefaultParagraphFont"/>
    <w:uiPriority w:val="99"/>
    <w:unhideWhenUsed/>
    <w:rsid w:val="001E7215"/>
    <w:rPr>
      <w:color w:val="467886" w:themeColor="hyperlink"/>
      <w:u w:val="single"/>
    </w:rPr>
  </w:style>
  <w:style w:type="character" w:styleId="UnresolvedMention">
    <w:name w:val="Unresolved Mention"/>
    <w:basedOn w:val="DefaultParagraphFont"/>
    <w:uiPriority w:val="99"/>
    <w:semiHidden/>
    <w:unhideWhenUsed/>
    <w:rsid w:val="001E7215"/>
    <w:rPr>
      <w:color w:val="605E5C"/>
      <w:shd w:val="clear" w:color="auto" w:fill="E1DFDD"/>
    </w:rPr>
  </w:style>
  <w:style w:type="paragraph" w:styleId="Revision">
    <w:name w:val="Revision"/>
    <w:hidden/>
    <w:uiPriority w:val="99"/>
    <w:semiHidden/>
    <w:rsid w:val="002F4573"/>
    <w:pPr>
      <w:spacing w:after="0" w:line="240" w:lineRule="auto"/>
    </w:pPr>
  </w:style>
  <w:style w:type="paragraph" w:styleId="EndnoteText">
    <w:name w:val="endnote text"/>
    <w:basedOn w:val="Normal"/>
    <w:link w:val="EndnoteTextChar"/>
    <w:uiPriority w:val="99"/>
    <w:semiHidden/>
    <w:unhideWhenUsed/>
    <w:rsid w:val="00B8485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84852"/>
    <w:rPr>
      <w:sz w:val="20"/>
      <w:szCs w:val="20"/>
    </w:rPr>
  </w:style>
  <w:style w:type="character" w:styleId="EndnoteReference">
    <w:name w:val="endnote reference"/>
    <w:basedOn w:val="DefaultParagraphFont"/>
    <w:uiPriority w:val="99"/>
    <w:semiHidden/>
    <w:unhideWhenUsed/>
    <w:rsid w:val="00B84852"/>
    <w:rPr>
      <w:vertAlign w:val="superscript"/>
    </w:rPr>
  </w:style>
  <w:style w:type="paragraph" w:styleId="Header">
    <w:name w:val="header"/>
    <w:basedOn w:val="Normal"/>
    <w:link w:val="HeaderChar"/>
    <w:uiPriority w:val="99"/>
    <w:unhideWhenUsed/>
    <w:rsid w:val="00316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920"/>
  </w:style>
  <w:style w:type="paragraph" w:styleId="Footer">
    <w:name w:val="footer"/>
    <w:basedOn w:val="Normal"/>
    <w:link w:val="FooterChar"/>
    <w:uiPriority w:val="99"/>
    <w:unhideWhenUsed/>
    <w:rsid w:val="00316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920"/>
  </w:style>
  <w:style w:type="paragraph" w:styleId="FootnoteText">
    <w:name w:val="footnote text"/>
    <w:basedOn w:val="Normal"/>
    <w:link w:val="FootnoteTextChar"/>
    <w:uiPriority w:val="99"/>
    <w:semiHidden/>
    <w:unhideWhenUsed/>
    <w:rsid w:val="00B560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6068"/>
    <w:rPr>
      <w:sz w:val="20"/>
      <w:szCs w:val="20"/>
    </w:rPr>
  </w:style>
  <w:style w:type="character" w:styleId="FootnoteReference">
    <w:name w:val="footnote reference"/>
    <w:basedOn w:val="DefaultParagraphFont"/>
    <w:uiPriority w:val="99"/>
    <w:semiHidden/>
    <w:unhideWhenUsed/>
    <w:rsid w:val="00B560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7353ec-9690-4382-8721-f9f18721ff99">
      <Terms xmlns="http://schemas.microsoft.com/office/infopath/2007/PartnerControls"/>
    </lcf76f155ced4ddcb4097134ff3c332f>
    <TaxCatchAll xmlns="87574e84-b07e-45bb-b60a-5e81dd05791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A0EC144379754499EE383F463F6C61" ma:contentTypeVersion="16" ma:contentTypeDescription="Crée un document." ma:contentTypeScope="" ma:versionID="c32a1cc607d1ad228098052ccd135069">
  <xsd:schema xmlns:xsd="http://www.w3.org/2001/XMLSchema" xmlns:xs="http://www.w3.org/2001/XMLSchema" xmlns:p="http://schemas.microsoft.com/office/2006/metadata/properties" xmlns:ns2="c37353ec-9690-4382-8721-f9f18721ff99" xmlns:ns3="87574e84-b07e-45bb-b60a-5e81dd05791a" targetNamespace="http://schemas.microsoft.com/office/2006/metadata/properties" ma:root="true" ma:fieldsID="c533fdf918e8a5b828710757e5c7611c" ns2:_="" ns3:_="">
    <xsd:import namespace="c37353ec-9690-4382-8721-f9f18721ff99"/>
    <xsd:import namespace="87574e84-b07e-45bb-b60a-5e81dd05791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7353ec-9690-4382-8721-f9f18721ff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alises d’images" ma:readOnly="false" ma:fieldId="{5cf76f15-5ced-4ddc-b409-7134ff3c332f}" ma:taxonomyMulti="true" ma:sspId="0f0bbf06-b7fd-4c63-9ccb-2b4a61ab0b2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574e84-b07e-45bb-b60a-5e81dd05791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14681a7-4025-4944-85d3-67b1f288023e}" ma:internalName="TaxCatchAll" ma:showField="CatchAllData" ma:web="87574e84-b07e-45bb-b60a-5e81dd0579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B93CA-0709-4FD4-88F8-9C41520368A8}">
  <ds:schemaRefs>
    <ds:schemaRef ds:uri="http://schemas.microsoft.com/sharepoint/v3/contenttype/forms"/>
  </ds:schemaRefs>
</ds:datastoreItem>
</file>

<file path=customXml/itemProps2.xml><?xml version="1.0" encoding="utf-8"?>
<ds:datastoreItem xmlns:ds="http://schemas.openxmlformats.org/officeDocument/2006/customXml" ds:itemID="{402DE9E6-E553-48A7-822A-B1A46822E577}">
  <ds:schemaRefs>
    <ds:schemaRef ds:uri="http://schemas.microsoft.com/office/2006/metadata/properties"/>
    <ds:schemaRef ds:uri="http://schemas.microsoft.com/office/infopath/2007/PartnerControls"/>
    <ds:schemaRef ds:uri="c37353ec-9690-4382-8721-f9f18721ff99"/>
    <ds:schemaRef ds:uri="87574e84-b07e-45bb-b60a-5e81dd05791a"/>
  </ds:schemaRefs>
</ds:datastoreItem>
</file>

<file path=customXml/itemProps3.xml><?xml version="1.0" encoding="utf-8"?>
<ds:datastoreItem xmlns:ds="http://schemas.openxmlformats.org/officeDocument/2006/customXml" ds:itemID="{1C09661F-F43C-46C2-82C3-AD50FBCDC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7353ec-9690-4382-8721-f9f18721ff99"/>
    <ds:schemaRef ds:uri="87574e84-b07e-45bb-b60a-5e81dd057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4A1282-BFBE-40E7-ADD5-B4ED4C9F5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Ilaria Passarani</dc:creator>
  <cp:keywords/>
  <dc:description/>
  <cp:lastModifiedBy>Nikoleta Arnaudova</cp:lastModifiedBy>
  <cp:revision>2</cp:revision>
  <dcterms:created xsi:type="dcterms:W3CDTF">2026-08-31T08:05:00Z</dcterms:created>
  <dcterms:modified xsi:type="dcterms:W3CDTF">2026-08-31T08:05:00Z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0x010100B0A0EC144379754499EE383F463F6C61</vt:lpwstr>
  </property>
  <property fmtid="{D5CDD505-2E9C-101B-9397-08002B2CF9AE}" pid="3" name="MediaServiceImageTags">
    <vt:lpwstr/>
  </property>
</Properties>
</file>