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6F99F" w14:textId="77777777" w:rsidR="00977F50" w:rsidRDefault="00977F50">
      <w:pPr>
        <w:pStyle w:val="Titre2"/>
        <w:jc w:val="center"/>
        <w:rPr>
          <w:rStyle w:val="Aucun"/>
          <w:rFonts w:ascii="Georgia" w:hAnsi="Georgia"/>
          <w:color w:val="002060"/>
          <w:sz w:val="36"/>
          <w:szCs w:val="36"/>
          <w:u w:color="002060"/>
        </w:rPr>
      </w:pPr>
    </w:p>
    <w:p w14:paraId="3BB4C285" w14:textId="39713FBD" w:rsidR="003722C3" w:rsidRDefault="005D718C">
      <w:pPr>
        <w:pStyle w:val="Titre2"/>
        <w:jc w:val="center"/>
        <w:rPr>
          <w:rStyle w:val="Aucun"/>
          <w:rFonts w:ascii="Georgia" w:eastAsia="Georgia" w:hAnsi="Georgia" w:cs="Georgia"/>
          <w:color w:val="002060"/>
          <w:sz w:val="36"/>
          <w:szCs w:val="36"/>
          <w:u w:color="002060"/>
        </w:rPr>
      </w:pPr>
      <w:r>
        <w:rPr>
          <w:rStyle w:val="Aucun"/>
          <w:rFonts w:ascii="Georgia" w:hAnsi="Georgia"/>
          <w:color w:val="002060"/>
          <w:sz w:val="36"/>
          <w:szCs w:val="36"/>
          <w:u w:color="002060"/>
        </w:rPr>
        <w:t xml:space="preserve">European dental professionals urge the EU to </w:t>
      </w:r>
      <w:proofErr w:type="spellStart"/>
      <w:r>
        <w:rPr>
          <w:rStyle w:val="Aucun"/>
          <w:rFonts w:ascii="Georgia" w:hAnsi="Georgia"/>
          <w:color w:val="002060"/>
          <w:sz w:val="36"/>
          <w:szCs w:val="36"/>
          <w:u w:color="002060"/>
        </w:rPr>
        <w:t>modernise</w:t>
      </w:r>
      <w:proofErr w:type="spellEnd"/>
      <w:r>
        <w:rPr>
          <w:rStyle w:val="Aucun"/>
          <w:rFonts w:ascii="Georgia" w:hAnsi="Georgia"/>
          <w:color w:val="002060"/>
          <w:sz w:val="36"/>
          <w:szCs w:val="36"/>
          <w:u w:color="002060"/>
        </w:rPr>
        <w:t xml:space="preserve"> undergraduate training</w:t>
      </w:r>
      <w:r w:rsidR="002378E3">
        <w:rPr>
          <w:rStyle w:val="Aucun"/>
          <w:rFonts w:ascii="Georgia" w:hAnsi="Georgia"/>
          <w:color w:val="002060"/>
          <w:sz w:val="36"/>
          <w:szCs w:val="36"/>
          <w:u w:color="002060"/>
        </w:rPr>
        <w:t>,</w:t>
      </w:r>
      <w:r>
        <w:rPr>
          <w:rStyle w:val="Aucun"/>
          <w:rFonts w:ascii="Georgia" w:hAnsi="Georgia"/>
          <w:color w:val="002060"/>
          <w:sz w:val="36"/>
          <w:szCs w:val="36"/>
          <w:u w:color="002060"/>
        </w:rPr>
        <w:t xml:space="preserve"> and ali</w:t>
      </w:r>
      <w:r w:rsidRPr="001C44AB">
        <w:rPr>
          <w:rStyle w:val="Aucun"/>
          <w:rFonts w:ascii="Georgia" w:hAnsi="Georgia"/>
          <w:color w:val="002060"/>
          <w:sz w:val="36"/>
          <w:szCs w:val="36"/>
          <w:u w:color="002060"/>
        </w:rPr>
        <w:t xml:space="preserve">gn </w:t>
      </w:r>
      <w:r w:rsidR="002378E3" w:rsidRPr="001C44AB">
        <w:rPr>
          <w:rStyle w:val="Aucun"/>
          <w:rFonts w:ascii="Georgia" w:hAnsi="Georgia"/>
          <w:color w:val="002060"/>
          <w:sz w:val="36"/>
          <w:szCs w:val="36"/>
          <w:u w:color="002060"/>
        </w:rPr>
        <w:t>with</w:t>
      </w:r>
      <w:r w:rsidRPr="00C35444">
        <w:rPr>
          <w:rStyle w:val="Aucun"/>
          <w:rFonts w:ascii="Georgia" w:hAnsi="Georgia"/>
          <w:color w:val="002060"/>
          <w:sz w:val="36"/>
          <w:szCs w:val="36"/>
          <w:u w:color="002060"/>
        </w:rPr>
        <w:t xml:space="preserve"> </w:t>
      </w:r>
      <w:r w:rsidRPr="001C44AB">
        <w:rPr>
          <w:rStyle w:val="Aucun"/>
          <w:rFonts w:ascii="Georgia" w:hAnsi="Georgia"/>
          <w:color w:val="002060"/>
          <w:sz w:val="36"/>
          <w:szCs w:val="36"/>
          <w:u w:color="002060"/>
        </w:rPr>
        <w:t>clinical standards</w:t>
      </w:r>
      <w:r w:rsidR="002378E3" w:rsidRPr="001C44AB">
        <w:rPr>
          <w:rStyle w:val="Aucun"/>
          <w:rFonts w:ascii="Georgia" w:hAnsi="Georgia"/>
          <w:color w:val="002060"/>
          <w:sz w:val="36"/>
          <w:szCs w:val="36"/>
          <w:u w:color="002060"/>
        </w:rPr>
        <w:t xml:space="preserve"> </w:t>
      </w:r>
      <w:r w:rsidR="00B77912" w:rsidRPr="001C44AB">
        <w:rPr>
          <w:rStyle w:val="Aucun"/>
          <w:rFonts w:ascii="Georgia" w:hAnsi="Georgia"/>
          <w:color w:val="002060"/>
          <w:sz w:val="36"/>
          <w:szCs w:val="36"/>
          <w:u w:color="002060"/>
        </w:rPr>
        <w:t xml:space="preserve">originally </w:t>
      </w:r>
      <w:r w:rsidR="006F30A3" w:rsidRPr="001C44AB">
        <w:rPr>
          <w:rStyle w:val="Aucun"/>
          <w:rFonts w:ascii="Georgia" w:hAnsi="Georgia"/>
          <w:color w:val="002060"/>
          <w:sz w:val="36"/>
          <w:szCs w:val="36"/>
          <w:u w:color="002060"/>
        </w:rPr>
        <w:t>established</w:t>
      </w:r>
      <w:r w:rsidR="002378E3" w:rsidRPr="001C44AB">
        <w:rPr>
          <w:rStyle w:val="Aucun"/>
          <w:rFonts w:ascii="Georgia" w:hAnsi="Georgia"/>
          <w:color w:val="002060"/>
          <w:sz w:val="36"/>
          <w:szCs w:val="36"/>
          <w:u w:color="002060"/>
        </w:rPr>
        <w:t xml:space="preserve"> in </w:t>
      </w:r>
      <w:r w:rsidR="002378E3" w:rsidRPr="00C35444">
        <w:rPr>
          <w:rStyle w:val="Aucun"/>
          <w:rFonts w:ascii="Georgia" w:hAnsi="Georgia"/>
          <w:color w:val="002060"/>
          <w:sz w:val="36"/>
          <w:szCs w:val="36"/>
          <w:u w:color="002060"/>
        </w:rPr>
        <w:t>1978</w:t>
      </w:r>
    </w:p>
    <w:p w14:paraId="2097483A" w14:textId="77777777" w:rsidR="003722C3" w:rsidRDefault="003722C3">
      <w:pPr>
        <w:pStyle w:val="Corps"/>
        <w:jc w:val="both"/>
        <w:rPr>
          <w:sz w:val="21"/>
          <w:szCs w:val="21"/>
        </w:rPr>
      </w:pPr>
    </w:p>
    <w:p w14:paraId="66BA9FBA" w14:textId="049F03A8" w:rsidR="003722C3" w:rsidRDefault="005D718C">
      <w:pPr>
        <w:pStyle w:val="Corps"/>
        <w:jc w:val="both"/>
        <w:rPr>
          <w:rStyle w:val="Aucun"/>
          <w:sz w:val="21"/>
          <w:szCs w:val="21"/>
        </w:rPr>
      </w:pPr>
      <w:r w:rsidRPr="00C35444">
        <w:rPr>
          <w:rStyle w:val="Aucun"/>
          <w:b/>
          <w:bCs/>
          <w:sz w:val="21"/>
          <w:szCs w:val="21"/>
        </w:rPr>
        <w:t xml:space="preserve">Union of Skills. </w:t>
      </w:r>
      <w:r w:rsidRPr="00C35444">
        <w:rPr>
          <w:sz w:val="21"/>
          <w:szCs w:val="21"/>
          <w:lang w:val="en-US"/>
        </w:rPr>
        <w:t>U</w:t>
      </w:r>
      <w:r>
        <w:rPr>
          <w:rStyle w:val="Aucun"/>
          <w:sz w:val="21"/>
          <w:szCs w:val="21"/>
        </w:rPr>
        <w:t>nder the Union of Skills</w:t>
      </w:r>
      <w:r w:rsidRPr="00C35444">
        <w:rPr>
          <w:rStyle w:val="Aucun"/>
          <w:sz w:val="21"/>
          <w:szCs w:val="21"/>
        </w:rPr>
        <w:t>,</w:t>
      </w:r>
      <w:r>
        <w:rPr>
          <w:rStyle w:val="Aucun"/>
          <w:sz w:val="21"/>
          <w:szCs w:val="21"/>
        </w:rPr>
        <w:t xml:space="preserve"> </w:t>
      </w:r>
      <w:r w:rsidRPr="00C35444">
        <w:rPr>
          <w:rStyle w:val="Aucun"/>
          <w:sz w:val="21"/>
          <w:szCs w:val="21"/>
        </w:rPr>
        <w:t>t</w:t>
      </w:r>
      <w:r>
        <w:rPr>
          <w:rStyle w:val="Aucun"/>
          <w:sz w:val="21"/>
          <w:szCs w:val="21"/>
        </w:rPr>
        <w:t>he Skills Portability Initiative developed by the European Commission</w:t>
      </w:r>
      <w:r w:rsidRPr="00C35444">
        <w:rPr>
          <w:rStyle w:val="Aucun"/>
          <w:sz w:val="21"/>
          <w:szCs w:val="21"/>
        </w:rPr>
        <w:t xml:space="preserve"> </w:t>
      </w:r>
      <w:r>
        <w:rPr>
          <w:sz w:val="21"/>
          <w:szCs w:val="21"/>
          <w:lang w:val="en-US"/>
        </w:rPr>
        <w:t>aims to facilitate and strengthen the free movement of professionals and the automatic recognition process</w:t>
      </w:r>
      <w:r w:rsidR="00626571">
        <w:rPr>
          <w:sz w:val="21"/>
          <w:szCs w:val="21"/>
          <w:lang w:val="en-US"/>
        </w:rPr>
        <w:t xml:space="preserve">, applying </w:t>
      </w:r>
      <w:r>
        <w:rPr>
          <w:sz w:val="21"/>
          <w:szCs w:val="21"/>
          <w:lang w:val="en-US"/>
        </w:rPr>
        <w:t>to the dental profession.</w:t>
      </w:r>
    </w:p>
    <w:p w14:paraId="208E876D" w14:textId="77777777" w:rsidR="003722C3" w:rsidRDefault="005D718C">
      <w:pPr>
        <w:pStyle w:val="Corps"/>
        <w:jc w:val="both"/>
        <w:rPr>
          <w:sz w:val="21"/>
          <w:szCs w:val="21"/>
        </w:rPr>
      </w:pPr>
      <w:r w:rsidRPr="00C35444">
        <w:rPr>
          <w:rStyle w:val="Aucun"/>
          <w:b/>
          <w:bCs/>
          <w:sz w:val="21"/>
          <w:szCs w:val="21"/>
        </w:rPr>
        <w:t xml:space="preserve">Dental skills. </w:t>
      </w:r>
      <w:r w:rsidRPr="00C35444">
        <w:rPr>
          <w:rStyle w:val="Aucun"/>
          <w:sz w:val="21"/>
          <w:szCs w:val="21"/>
        </w:rPr>
        <w:t>E</w:t>
      </w:r>
      <w:r>
        <w:rPr>
          <w:sz w:val="21"/>
          <w:szCs w:val="21"/>
          <w:lang w:val="en-US"/>
        </w:rPr>
        <w:t>very year</w:t>
      </w:r>
      <w:r w:rsidRPr="00C35444">
        <w:rPr>
          <w:sz w:val="21"/>
          <w:szCs w:val="21"/>
          <w:lang w:val="en-US"/>
        </w:rPr>
        <w:t xml:space="preserve"> in the EU t</w:t>
      </w:r>
      <w:r>
        <w:rPr>
          <w:sz w:val="21"/>
          <w:szCs w:val="21"/>
          <w:lang w:val="en-US"/>
        </w:rPr>
        <w:t>he automatic recognition principle for regulated professions applies to an estimated 14 000 additional dental degrees</w:t>
      </w:r>
      <w:r>
        <w:rPr>
          <w:rStyle w:val="Aucun"/>
          <w:sz w:val="21"/>
          <w:szCs w:val="21"/>
        </w:rPr>
        <w:t>.</w:t>
      </w:r>
    </w:p>
    <w:p w14:paraId="16EE26CF" w14:textId="140C6D37" w:rsidR="003722C3" w:rsidRDefault="005D718C">
      <w:pPr>
        <w:pStyle w:val="Corps"/>
        <w:spacing w:line="264" w:lineRule="auto"/>
        <w:jc w:val="both"/>
        <w:rPr>
          <w:rStyle w:val="Aucun"/>
          <w:sz w:val="21"/>
          <w:szCs w:val="21"/>
        </w:rPr>
      </w:pPr>
      <w:r>
        <w:rPr>
          <w:rStyle w:val="Aucun"/>
          <w:sz w:val="21"/>
          <w:szCs w:val="21"/>
        </w:rPr>
        <w:t>However</w:t>
      </w:r>
      <w:r w:rsidRPr="009A4BB2">
        <w:rPr>
          <w:rStyle w:val="Aucun"/>
          <w:sz w:val="21"/>
          <w:szCs w:val="21"/>
        </w:rPr>
        <w:t xml:space="preserve"> </w:t>
      </w:r>
      <w:r w:rsidR="00626571" w:rsidRPr="009A4BB2">
        <w:rPr>
          <w:rStyle w:val="Aucun"/>
          <w:sz w:val="21"/>
          <w:szCs w:val="21"/>
        </w:rPr>
        <w:t xml:space="preserve">European dental professionals note </w:t>
      </w:r>
      <w:r w:rsidR="00626571" w:rsidRPr="00626571">
        <w:rPr>
          <w:rStyle w:val="Aucun"/>
          <w:sz w:val="21"/>
          <w:szCs w:val="21"/>
        </w:rPr>
        <w:t>that</w:t>
      </w:r>
      <w:r w:rsidR="00626571">
        <w:rPr>
          <w:rStyle w:val="Aucun"/>
          <w:sz w:val="21"/>
          <w:szCs w:val="21"/>
        </w:rPr>
        <w:t>:</w:t>
      </w:r>
    </w:p>
    <w:p w14:paraId="49538E3E" w14:textId="5009EE39" w:rsidR="003722C3" w:rsidRPr="009A4BB2" w:rsidRDefault="001E3899">
      <w:pPr>
        <w:pStyle w:val="Corps"/>
        <w:numPr>
          <w:ilvl w:val="0"/>
          <w:numId w:val="1"/>
        </w:numPr>
        <w:spacing w:line="264" w:lineRule="auto"/>
        <w:jc w:val="both"/>
        <w:rPr>
          <w:sz w:val="21"/>
          <w:szCs w:val="21"/>
        </w:rPr>
      </w:pPr>
      <w:r w:rsidRPr="00C35444">
        <w:rPr>
          <w:rStyle w:val="Aucun"/>
          <w:sz w:val="21"/>
          <w:szCs w:val="21"/>
        </w:rPr>
        <w:t xml:space="preserve">There is currently no unified or aligned dental education framework, with dental education remaining highly </w:t>
      </w:r>
      <w:r w:rsidRPr="009A4BB2">
        <w:rPr>
          <w:rStyle w:val="Aucun"/>
          <w:sz w:val="21"/>
          <w:szCs w:val="21"/>
          <w:lang w:val="en-GB"/>
        </w:rPr>
        <w:t>fragmented and diverse across European schools</w:t>
      </w:r>
      <w:r w:rsidR="005D718C" w:rsidRPr="009A4BB2">
        <w:rPr>
          <w:rStyle w:val="Aucun"/>
          <w:sz w:val="21"/>
          <w:szCs w:val="21"/>
          <w:vertAlign w:val="superscript"/>
          <w:lang w:val="en-GB"/>
        </w:rPr>
        <w:footnoteReference w:id="2"/>
      </w:r>
      <w:r w:rsidR="005D718C" w:rsidRPr="009A4BB2">
        <w:rPr>
          <w:rStyle w:val="Aucun"/>
          <w:sz w:val="21"/>
          <w:szCs w:val="21"/>
          <w:lang w:val="en-GB"/>
        </w:rPr>
        <w:t xml:space="preserve">. </w:t>
      </w:r>
    </w:p>
    <w:p w14:paraId="2584BF76" w14:textId="54A5C729" w:rsidR="003722C3" w:rsidRPr="009A4BB2" w:rsidRDefault="005D718C">
      <w:pPr>
        <w:pStyle w:val="Corps"/>
        <w:numPr>
          <w:ilvl w:val="0"/>
          <w:numId w:val="1"/>
        </w:numPr>
        <w:spacing w:line="264" w:lineRule="auto"/>
        <w:jc w:val="both"/>
        <w:rPr>
          <w:rStyle w:val="Aucun"/>
          <w:sz w:val="21"/>
          <w:szCs w:val="21"/>
          <w:lang w:val="en-GB"/>
        </w:rPr>
      </w:pPr>
      <w:r w:rsidRPr="009A4BB2">
        <w:rPr>
          <w:rStyle w:val="Aucun"/>
          <w:sz w:val="21"/>
          <w:szCs w:val="21"/>
          <w:lang w:val="en-GB"/>
        </w:rPr>
        <w:t>The standards set in EU law for the dental clinical training to undertake with pa</w:t>
      </w:r>
      <w:r w:rsidR="00A953E2" w:rsidRPr="009A4BB2">
        <w:rPr>
          <w:rStyle w:val="Aucun"/>
          <w:sz w:val="21"/>
          <w:szCs w:val="21"/>
          <w:lang w:val="en-GB"/>
        </w:rPr>
        <w:t>t</w:t>
      </w:r>
      <w:r w:rsidRPr="009A4BB2">
        <w:rPr>
          <w:rStyle w:val="Aucun"/>
          <w:sz w:val="21"/>
          <w:szCs w:val="21"/>
          <w:lang w:val="en-GB"/>
        </w:rPr>
        <w:t>ients ha</w:t>
      </w:r>
      <w:r w:rsidR="001E3899" w:rsidRPr="009A4BB2">
        <w:rPr>
          <w:rStyle w:val="Aucun"/>
          <w:sz w:val="21"/>
          <w:szCs w:val="21"/>
          <w:lang w:val="en-GB"/>
        </w:rPr>
        <w:t>ve</w:t>
      </w:r>
      <w:r w:rsidRPr="009A4BB2">
        <w:rPr>
          <w:rStyle w:val="Aucun"/>
          <w:sz w:val="21"/>
          <w:szCs w:val="21"/>
          <w:lang w:val="en-GB"/>
        </w:rPr>
        <w:t xml:space="preserve"> </w:t>
      </w:r>
      <w:r w:rsidRPr="009A4BB2">
        <w:rPr>
          <w:rStyle w:val="Aucun"/>
          <w:b/>
          <w:bCs/>
          <w:sz w:val="21"/>
          <w:szCs w:val="21"/>
          <w:lang w:val="en-GB"/>
        </w:rPr>
        <w:t>not been adapted since 1978</w:t>
      </w:r>
      <w:r w:rsidRPr="009A4BB2">
        <w:rPr>
          <w:rStyle w:val="Aucun"/>
          <w:sz w:val="21"/>
          <w:szCs w:val="21"/>
          <w:vertAlign w:val="superscript"/>
          <w:lang w:val="en-GB"/>
        </w:rPr>
        <w:footnoteReference w:id="3"/>
      </w:r>
      <w:r w:rsidRPr="009A4BB2">
        <w:rPr>
          <w:rStyle w:val="Aucun"/>
          <w:sz w:val="21"/>
          <w:szCs w:val="21"/>
          <w:lang w:val="en-GB"/>
        </w:rPr>
        <w:t>.</w:t>
      </w:r>
    </w:p>
    <w:p w14:paraId="5955B1DB" w14:textId="47883945" w:rsidR="00626571" w:rsidRPr="009A4BB2" w:rsidRDefault="00626571" w:rsidP="00626571">
      <w:pPr>
        <w:pStyle w:val="Corps"/>
        <w:numPr>
          <w:ilvl w:val="0"/>
          <w:numId w:val="1"/>
        </w:numPr>
        <w:spacing w:line="264" w:lineRule="auto"/>
        <w:jc w:val="both"/>
        <w:rPr>
          <w:sz w:val="21"/>
          <w:szCs w:val="21"/>
        </w:rPr>
      </w:pPr>
      <w:r w:rsidRPr="009A4BB2">
        <w:rPr>
          <w:rStyle w:val="Aucun"/>
          <w:sz w:val="21"/>
          <w:szCs w:val="21"/>
          <w:lang w:val="en-GB"/>
        </w:rPr>
        <w:t>Among dental students, a limited share of 51% reports undertaking mandatory clinical internships in private practices</w:t>
      </w:r>
      <w:r w:rsidRPr="009A4BB2">
        <w:rPr>
          <w:rStyle w:val="Aucun"/>
          <w:sz w:val="21"/>
          <w:szCs w:val="21"/>
          <w:vertAlign w:val="superscript"/>
          <w:lang w:val="en-GB"/>
        </w:rPr>
        <w:footnoteReference w:id="4"/>
      </w:r>
      <w:r w:rsidRPr="009A4BB2">
        <w:rPr>
          <w:rStyle w:val="Aucun"/>
          <w:sz w:val="21"/>
          <w:szCs w:val="21"/>
          <w:lang w:val="en-GB"/>
        </w:rPr>
        <w:t>.</w:t>
      </w:r>
    </w:p>
    <w:p w14:paraId="6FB8A975" w14:textId="77777777" w:rsidR="003722C3" w:rsidRPr="009A4BB2" w:rsidRDefault="005D718C">
      <w:pPr>
        <w:pStyle w:val="Corps"/>
        <w:jc w:val="both"/>
        <w:rPr>
          <w:b/>
          <w:bCs/>
          <w:sz w:val="21"/>
          <w:szCs w:val="21"/>
        </w:rPr>
      </w:pPr>
      <w:r w:rsidRPr="009A4BB2">
        <w:rPr>
          <w:b/>
          <w:bCs/>
          <w:sz w:val="21"/>
          <w:szCs w:val="21"/>
        </w:rPr>
        <w:t xml:space="preserve">Mobility. </w:t>
      </w:r>
      <w:r w:rsidRPr="009A4BB2">
        <w:rPr>
          <w:rStyle w:val="Aucun"/>
          <w:sz w:val="21"/>
          <w:szCs w:val="21"/>
          <w:lang w:val="en-GB"/>
        </w:rPr>
        <w:t>Recognising that the dental profession is the 5th most mobile profession in Europe and acknowledging the strong interest of dental students in studying and working abroad, a 2024 study conducted among 798 European dental students found that 66,19% of undergraduate dental students intended practising in another EU country in 2024.</w:t>
      </w:r>
    </w:p>
    <w:p w14:paraId="1A49D548" w14:textId="1B349060" w:rsidR="003722C3" w:rsidRDefault="005D718C">
      <w:pPr>
        <w:pStyle w:val="Corps"/>
        <w:jc w:val="both"/>
        <w:rPr>
          <w:rStyle w:val="Aucun"/>
          <w:color w:val="FF2600"/>
          <w:sz w:val="21"/>
          <w:szCs w:val="21"/>
        </w:rPr>
      </w:pPr>
      <w:r w:rsidRPr="009A4BB2">
        <w:rPr>
          <w:rStyle w:val="Aucun"/>
          <w:b/>
          <w:bCs/>
          <w:sz w:val="21"/>
          <w:szCs w:val="21"/>
          <w:lang w:val="en-GB"/>
        </w:rPr>
        <w:t xml:space="preserve">Unanimous call. </w:t>
      </w:r>
      <w:r w:rsidRPr="009A4BB2">
        <w:rPr>
          <w:rStyle w:val="Aucun"/>
          <w:sz w:val="21"/>
          <w:szCs w:val="21"/>
          <w:lang w:val="en-GB"/>
        </w:rPr>
        <w:t>Reflecting on repeated calls from across the dental sector, including from dental educators, dental students, general dental practitioners and dental</w:t>
      </w:r>
      <w:r>
        <w:rPr>
          <w:rStyle w:val="Aucun"/>
          <w:sz w:val="21"/>
          <w:szCs w:val="21"/>
        </w:rPr>
        <w:t xml:space="preserve"> regulators, there is a clear need </w:t>
      </w:r>
      <w:r w:rsidR="00626571">
        <w:rPr>
          <w:rStyle w:val="Aucun"/>
          <w:sz w:val="21"/>
          <w:szCs w:val="21"/>
        </w:rPr>
        <w:t>for the</w:t>
      </w:r>
      <w:r w:rsidRPr="00C35444">
        <w:rPr>
          <w:rStyle w:val="Aucun"/>
          <w:sz w:val="21"/>
          <w:szCs w:val="21"/>
        </w:rPr>
        <w:t xml:space="preserve"> Union of Skills </w:t>
      </w:r>
      <w:r>
        <w:rPr>
          <w:rStyle w:val="Aucun"/>
          <w:sz w:val="21"/>
          <w:szCs w:val="21"/>
        </w:rPr>
        <w:t xml:space="preserve">to update and align minimum training requirements across dental studies. This would </w:t>
      </w:r>
      <w:r w:rsidRPr="00C35444">
        <w:rPr>
          <w:rStyle w:val="Aucun"/>
          <w:sz w:val="21"/>
          <w:szCs w:val="21"/>
        </w:rPr>
        <w:t>complete</w:t>
      </w:r>
      <w:r>
        <w:rPr>
          <w:rStyle w:val="Aucun"/>
          <w:sz w:val="21"/>
          <w:szCs w:val="21"/>
        </w:rPr>
        <w:t xml:space="preserve"> the insufficient revision </w:t>
      </w:r>
      <w:r w:rsidRPr="00C35444">
        <w:rPr>
          <w:rStyle w:val="Aucun"/>
          <w:sz w:val="21"/>
          <w:szCs w:val="21"/>
        </w:rPr>
        <w:t xml:space="preserve">in 2024 </w:t>
      </w:r>
      <w:r>
        <w:rPr>
          <w:rStyle w:val="Aucun"/>
          <w:sz w:val="21"/>
          <w:szCs w:val="21"/>
        </w:rPr>
        <w:t xml:space="preserve">of </w:t>
      </w:r>
      <w:r w:rsidRPr="00C35444">
        <w:rPr>
          <w:rStyle w:val="Aucun"/>
          <w:sz w:val="21"/>
          <w:szCs w:val="21"/>
        </w:rPr>
        <w:t xml:space="preserve">training </w:t>
      </w:r>
      <w:r>
        <w:rPr>
          <w:rStyle w:val="Aucun"/>
          <w:sz w:val="21"/>
          <w:szCs w:val="21"/>
        </w:rPr>
        <w:t xml:space="preserve">subjects </w:t>
      </w:r>
      <w:r w:rsidRPr="00C35444">
        <w:rPr>
          <w:rStyle w:val="Aucun"/>
          <w:sz w:val="21"/>
          <w:szCs w:val="21"/>
        </w:rPr>
        <w:t>listed in</w:t>
      </w:r>
      <w:r>
        <w:rPr>
          <w:rStyle w:val="Aucun"/>
          <w:sz w:val="21"/>
          <w:szCs w:val="21"/>
        </w:rPr>
        <w:t xml:space="preserve"> Annex V of the Professional Qualifications Directive</w:t>
      </w:r>
      <w:r w:rsidRPr="00C35444">
        <w:rPr>
          <w:rStyle w:val="Aucun"/>
          <w:sz w:val="21"/>
          <w:szCs w:val="21"/>
        </w:rPr>
        <w:t xml:space="preserve"> (the ‘Directive’)</w:t>
      </w:r>
      <w:r>
        <w:rPr>
          <w:rStyle w:val="Aucun"/>
          <w:sz w:val="21"/>
          <w:szCs w:val="21"/>
        </w:rPr>
        <w:t xml:space="preserve">. </w:t>
      </w:r>
    </w:p>
    <w:p w14:paraId="76F87783" w14:textId="77777777" w:rsidR="009553A9" w:rsidRDefault="005D718C">
      <w:pPr>
        <w:pStyle w:val="Corps"/>
        <w:jc w:val="both"/>
        <w:rPr>
          <w:sz w:val="21"/>
          <w:szCs w:val="21"/>
          <w:lang w:val="en-US"/>
        </w:rPr>
      </w:pPr>
      <w:r w:rsidRPr="00C35444">
        <w:rPr>
          <w:rStyle w:val="Aucun"/>
          <w:b/>
          <w:bCs/>
          <w:sz w:val="21"/>
          <w:szCs w:val="21"/>
        </w:rPr>
        <w:t xml:space="preserve">Context &amp; solutions. </w:t>
      </w:r>
      <w:r w:rsidRPr="00C35444">
        <w:rPr>
          <w:sz w:val="21"/>
          <w:szCs w:val="21"/>
          <w:lang w:val="en-US"/>
        </w:rPr>
        <w:t>T</w:t>
      </w:r>
      <w:r>
        <w:rPr>
          <w:sz w:val="21"/>
          <w:szCs w:val="21"/>
          <w:lang w:val="en-US"/>
        </w:rPr>
        <w:t>he WHO Global oral health action plan 2023-2030 call</w:t>
      </w:r>
      <w:r w:rsidRPr="00C35444">
        <w:rPr>
          <w:sz w:val="21"/>
          <w:szCs w:val="21"/>
          <w:lang w:val="en-US"/>
        </w:rPr>
        <w:t>s</w:t>
      </w:r>
      <w:r>
        <w:rPr>
          <w:sz w:val="21"/>
          <w:szCs w:val="21"/>
          <w:lang w:val="en-US"/>
        </w:rPr>
        <w:t xml:space="preserve"> for measures to improve the oral health workforce curricula and training, as well as to better align private and public oral health workforce training</w:t>
      </w:r>
      <w:r>
        <w:rPr>
          <w:rStyle w:val="Aucun"/>
          <w:sz w:val="21"/>
          <w:szCs w:val="21"/>
          <w:vertAlign w:val="superscript"/>
        </w:rPr>
        <w:footnoteReference w:id="5"/>
      </w:r>
      <w:r>
        <w:rPr>
          <w:sz w:val="21"/>
          <w:szCs w:val="21"/>
          <w:lang w:val="en-US"/>
        </w:rPr>
        <w:t xml:space="preserve">. The collaborative Erasmus+ project </w:t>
      </w:r>
      <w:r>
        <w:rPr>
          <w:sz w:val="21"/>
          <w:szCs w:val="21"/>
          <w:rtl/>
          <w:lang w:val="ar-SA"/>
        </w:rPr>
        <w:t>“</w:t>
      </w:r>
      <w:r>
        <w:rPr>
          <w:sz w:val="21"/>
          <w:szCs w:val="21"/>
          <w:lang w:val="en-US"/>
        </w:rPr>
        <w:t>O-Health-Edu</w:t>
      </w:r>
      <w:r>
        <w:rPr>
          <w:sz w:val="21"/>
          <w:szCs w:val="21"/>
        </w:rPr>
        <w:t xml:space="preserve">” </w:t>
      </w:r>
      <w:r>
        <w:rPr>
          <w:sz w:val="21"/>
          <w:szCs w:val="21"/>
          <w:lang w:val="en-US"/>
        </w:rPr>
        <w:t xml:space="preserve">developed in </w:t>
      </w:r>
      <w:r>
        <w:rPr>
          <w:sz w:val="21"/>
          <w:szCs w:val="21"/>
          <w:lang w:val="en-US"/>
        </w:rPr>
        <w:lastRenderedPageBreak/>
        <w:t xml:space="preserve">2022 a </w:t>
      </w:r>
      <w:r w:rsidR="00A953E2">
        <w:rPr>
          <w:sz w:val="21"/>
          <w:szCs w:val="21"/>
          <w:lang w:val="en-US"/>
        </w:rPr>
        <w:t>C</w:t>
      </w:r>
      <w:r>
        <w:rPr>
          <w:sz w:val="21"/>
          <w:szCs w:val="21"/>
          <w:lang w:val="en-US"/>
        </w:rPr>
        <w:t xml:space="preserve">harter and </w:t>
      </w:r>
      <w:r w:rsidR="00A953E2">
        <w:rPr>
          <w:sz w:val="21"/>
          <w:szCs w:val="21"/>
          <w:lang w:val="en-US"/>
        </w:rPr>
        <w:t>a V</w:t>
      </w:r>
      <w:r>
        <w:rPr>
          <w:sz w:val="21"/>
          <w:szCs w:val="21"/>
          <w:lang w:val="en-US"/>
        </w:rPr>
        <w:t>ision for Oral Health Professional education across Europe to help reach the milestones outlined under the WHO action plan</w:t>
      </w:r>
      <w:r>
        <w:rPr>
          <w:rStyle w:val="Aucun"/>
          <w:sz w:val="21"/>
          <w:szCs w:val="21"/>
          <w:vertAlign w:val="superscript"/>
        </w:rPr>
        <w:footnoteReference w:id="6"/>
      </w:r>
      <w:r>
        <w:rPr>
          <w:sz w:val="21"/>
          <w:szCs w:val="21"/>
          <w:lang w:val="en-US"/>
        </w:rPr>
        <w:t>.</w:t>
      </w:r>
    </w:p>
    <w:p w14:paraId="1D87F4AA" w14:textId="5B90F39D" w:rsidR="003722C3" w:rsidRDefault="005D718C">
      <w:pPr>
        <w:pStyle w:val="Corps"/>
        <w:jc w:val="both"/>
        <w:rPr>
          <w:rStyle w:val="Aucun"/>
          <w:color w:val="EE0000"/>
          <w:sz w:val="21"/>
          <w:szCs w:val="21"/>
          <w:u w:color="EE0000"/>
        </w:rPr>
      </w:pPr>
      <w:r>
        <w:rPr>
          <w:sz w:val="21"/>
          <w:szCs w:val="21"/>
          <w:lang w:val="en-US"/>
        </w:rPr>
        <w:t xml:space="preserve">It is with this </w:t>
      </w:r>
      <w:r w:rsidR="009553A9">
        <w:rPr>
          <w:sz w:val="21"/>
          <w:szCs w:val="21"/>
          <w:lang w:val="en-US"/>
        </w:rPr>
        <w:t>purpose</w:t>
      </w:r>
      <w:r>
        <w:rPr>
          <w:sz w:val="21"/>
          <w:szCs w:val="21"/>
          <w:lang w:val="en-US"/>
        </w:rPr>
        <w:t xml:space="preserve"> that on 26 February 2026, a coalition of representatives from across the dental community gathered in Copenhagen to </w:t>
      </w:r>
      <w:r>
        <w:rPr>
          <w:rStyle w:val="Aucun"/>
          <w:sz w:val="21"/>
          <w:szCs w:val="21"/>
        </w:rPr>
        <w:t xml:space="preserve">further </w:t>
      </w:r>
      <w:r>
        <w:rPr>
          <w:sz w:val="21"/>
          <w:szCs w:val="21"/>
          <w:lang w:val="en-US"/>
        </w:rPr>
        <w:t>discuss undergraduate training requirements</w:t>
      </w:r>
      <w:r>
        <w:rPr>
          <w:rStyle w:val="Aucun"/>
          <w:sz w:val="21"/>
          <w:szCs w:val="21"/>
        </w:rPr>
        <w:t>, building on an initial Stakeholder event in Dublin, in February 2025</w:t>
      </w:r>
      <w:r>
        <w:rPr>
          <w:rStyle w:val="Aucun"/>
          <w:sz w:val="21"/>
          <w:szCs w:val="21"/>
          <w:vertAlign w:val="superscript"/>
        </w:rPr>
        <w:footnoteReference w:id="7"/>
      </w:r>
      <w:r>
        <w:rPr>
          <w:rStyle w:val="Aucun"/>
          <w:sz w:val="21"/>
          <w:szCs w:val="21"/>
        </w:rPr>
        <w:t>.</w:t>
      </w:r>
    </w:p>
    <w:p w14:paraId="03C1D881" w14:textId="77777777" w:rsidR="003722C3" w:rsidRDefault="005D718C">
      <w:pPr>
        <w:pStyle w:val="Corps"/>
        <w:jc w:val="both"/>
        <w:rPr>
          <w:sz w:val="21"/>
          <w:szCs w:val="21"/>
        </w:rPr>
      </w:pPr>
      <w:r>
        <w:rPr>
          <w:sz w:val="21"/>
          <w:szCs w:val="21"/>
          <w:lang w:val="en-US"/>
        </w:rPr>
        <w:t xml:space="preserve">The meeting </w:t>
      </w:r>
      <w:r>
        <w:rPr>
          <w:rStyle w:val="Aucun"/>
          <w:sz w:val="21"/>
          <w:szCs w:val="21"/>
        </w:rPr>
        <w:t xml:space="preserve">addressed ways to define and monitor clinical readiness, with the aim of better aligning and strengthening Oral Health Professional training. The group explored how various elements of the clinical curriculum can sit within the overarching ADEE </w:t>
      </w:r>
      <w:hyperlink r:id="rId7" w:history="1">
        <w:r>
          <w:rPr>
            <w:rStyle w:val="Hyperlink1"/>
            <w:sz w:val="21"/>
            <w:szCs w:val="21"/>
          </w:rPr>
          <w:t>Graduating European Dentist (GED) framework</w:t>
        </w:r>
      </w:hyperlink>
      <w:r>
        <w:rPr>
          <w:rStyle w:val="Aucun"/>
          <w:sz w:val="21"/>
          <w:szCs w:val="21"/>
        </w:rPr>
        <w:t>.</w:t>
      </w:r>
    </w:p>
    <w:p w14:paraId="3E9B8FED" w14:textId="4DAB80BA" w:rsidR="003722C3" w:rsidRDefault="009A4BB2">
      <w:pPr>
        <w:pStyle w:val="Corps"/>
        <w:jc w:val="both"/>
        <w:rPr>
          <w:sz w:val="21"/>
          <w:szCs w:val="21"/>
        </w:rPr>
      </w:pPr>
      <w:r>
        <w:rPr>
          <w:rStyle w:val="Aucun"/>
          <w:b/>
          <w:bCs/>
          <w:sz w:val="21"/>
          <w:szCs w:val="21"/>
        </w:rPr>
        <w:t>Recommendations</w:t>
      </w:r>
      <w:r w:rsidR="005D718C" w:rsidRPr="00C35444">
        <w:rPr>
          <w:rStyle w:val="Aucun"/>
          <w:b/>
          <w:bCs/>
          <w:sz w:val="21"/>
          <w:szCs w:val="21"/>
        </w:rPr>
        <w:t>.</w:t>
      </w:r>
      <w:r w:rsidR="005D718C" w:rsidRPr="00C35444">
        <w:rPr>
          <w:sz w:val="21"/>
          <w:szCs w:val="21"/>
          <w:lang w:val="en-US"/>
        </w:rPr>
        <w:t xml:space="preserve"> </w:t>
      </w:r>
      <w:r w:rsidR="005D718C">
        <w:rPr>
          <w:rStyle w:val="Aucun"/>
          <w:sz w:val="21"/>
          <w:szCs w:val="21"/>
        </w:rPr>
        <w:t xml:space="preserve">The coalition of European dental professionals, engaged across dental education, dental regulation, professional practice, and oral health management, therefore call on EU institutions to: </w:t>
      </w:r>
    </w:p>
    <w:p w14:paraId="70ED4060" w14:textId="4B1FB3AF" w:rsidR="003722C3" w:rsidRDefault="005D718C">
      <w:pPr>
        <w:pStyle w:val="ListParagraph"/>
        <w:numPr>
          <w:ilvl w:val="0"/>
          <w:numId w:val="3"/>
        </w:numPr>
        <w:spacing w:after="0"/>
        <w:jc w:val="both"/>
        <w:rPr>
          <w:sz w:val="21"/>
          <w:szCs w:val="21"/>
        </w:rPr>
      </w:pPr>
      <w:r>
        <w:rPr>
          <w:sz w:val="21"/>
          <w:szCs w:val="21"/>
        </w:rPr>
        <w:t xml:space="preserve">Distinguish and establish a </w:t>
      </w:r>
      <w:r>
        <w:rPr>
          <w:rStyle w:val="Aucun"/>
          <w:b/>
          <w:bCs/>
          <w:sz w:val="21"/>
          <w:szCs w:val="21"/>
        </w:rPr>
        <w:t>proper ratio</w:t>
      </w:r>
      <w:r>
        <w:rPr>
          <w:sz w:val="21"/>
          <w:szCs w:val="21"/>
        </w:rPr>
        <w:t xml:space="preserve"> between </w:t>
      </w:r>
      <w:r w:rsidRPr="007B06A1">
        <w:rPr>
          <w:b/>
          <w:bCs/>
          <w:sz w:val="21"/>
          <w:szCs w:val="21"/>
        </w:rPr>
        <w:t>theoretical and practical clinical training</w:t>
      </w:r>
      <w:r w:rsidR="00C641E8">
        <w:rPr>
          <w:b/>
          <w:bCs/>
          <w:sz w:val="21"/>
          <w:szCs w:val="21"/>
        </w:rPr>
        <w:t>, including direct patient care</w:t>
      </w:r>
      <w:r>
        <w:rPr>
          <w:sz w:val="21"/>
          <w:szCs w:val="21"/>
        </w:rPr>
        <w:t xml:space="preserve"> under </w:t>
      </w:r>
      <w:r w:rsidRPr="00C35444">
        <w:rPr>
          <w:sz w:val="21"/>
          <w:szCs w:val="21"/>
        </w:rPr>
        <w:t xml:space="preserve">the </w:t>
      </w:r>
      <w:r>
        <w:rPr>
          <w:sz w:val="21"/>
          <w:szCs w:val="21"/>
        </w:rPr>
        <w:t>Directive, incorporated under the “</w:t>
      </w:r>
      <w:r>
        <w:rPr>
          <w:rStyle w:val="Aucun"/>
          <w:i/>
          <w:iCs/>
          <w:sz w:val="21"/>
          <w:szCs w:val="21"/>
        </w:rPr>
        <w:t>at least 5 000 hours of full-time theoretical and practical training</w:t>
      </w:r>
      <w:r>
        <w:rPr>
          <w:sz w:val="21"/>
          <w:szCs w:val="21"/>
        </w:rPr>
        <w:t>”.</w:t>
      </w:r>
    </w:p>
    <w:p w14:paraId="58CB9570" w14:textId="77777777" w:rsidR="003722C3" w:rsidRDefault="003722C3">
      <w:pPr>
        <w:pStyle w:val="ListParagraph"/>
        <w:spacing w:after="0"/>
        <w:jc w:val="both"/>
        <w:rPr>
          <w:sz w:val="21"/>
          <w:szCs w:val="21"/>
        </w:rPr>
      </w:pPr>
    </w:p>
    <w:p w14:paraId="76A294F1" w14:textId="3A4445B2" w:rsidR="00DA21AB" w:rsidRDefault="005D718C" w:rsidP="00DA21AB">
      <w:pPr>
        <w:pStyle w:val="ListParagraph"/>
        <w:numPr>
          <w:ilvl w:val="0"/>
          <w:numId w:val="3"/>
        </w:numPr>
        <w:spacing w:after="0"/>
        <w:jc w:val="both"/>
        <w:rPr>
          <w:sz w:val="21"/>
          <w:szCs w:val="21"/>
        </w:rPr>
      </w:pPr>
      <w:r>
        <w:rPr>
          <w:sz w:val="21"/>
          <w:szCs w:val="21"/>
        </w:rPr>
        <w:t>Strengthen minimum practical training requirements, by introduc</w:t>
      </w:r>
      <w:r w:rsidRPr="00C35444">
        <w:rPr>
          <w:sz w:val="21"/>
          <w:szCs w:val="21"/>
        </w:rPr>
        <w:t>ing</w:t>
      </w:r>
      <w:r>
        <w:rPr>
          <w:sz w:val="21"/>
          <w:szCs w:val="21"/>
        </w:rPr>
        <w:t xml:space="preserve"> </w:t>
      </w:r>
      <w:r>
        <w:rPr>
          <w:rStyle w:val="Aucun"/>
          <w:b/>
          <w:bCs/>
          <w:sz w:val="21"/>
          <w:szCs w:val="21"/>
        </w:rPr>
        <w:t xml:space="preserve">a list of fields </w:t>
      </w:r>
      <w:r>
        <w:rPr>
          <w:sz w:val="21"/>
          <w:szCs w:val="21"/>
        </w:rPr>
        <w:t>of clinical practice under Annex V</w:t>
      </w:r>
      <w:r w:rsidR="00DA21AB">
        <w:rPr>
          <w:sz w:val="21"/>
          <w:szCs w:val="21"/>
        </w:rPr>
        <w:t xml:space="preserve"> </w:t>
      </w:r>
      <w:r>
        <w:rPr>
          <w:sz w:val="21"/>
          <w:szCs w:val="21"/>
        </w:rPr>
        <w:t>(5.3.1)</w:t>
      </w:r>
    </w:p>
    <w:p w14:paraId="7CF96EC8" w14:textId="77777777" w:rsidR="00DA21AB" w:rsidRDefault="00DA21AB" w:rsidP="00DA21AB">
      <w:pPr>
        <w:pStyle w:val="ListParagraph"/>
        <w:spacing w:after="0"/>
        <w:jc w:val="both"/>
        <w:rPr>
          <w:rStyle w:val="Aucun"/>
          <w:sz w:val="21"/>
          <w:szCs w:val="21"/>
        </w:rPr>
      </w:pPr>
    </w:p>
    <w:p w14:paraId="2563BF1E" w14:textId="2278EDBA" w:rsidR="00DA21AB" w:rsidRPr="00DA21AB" w:rsidRDefault="00DA21AB" w:rsidP="00DA21AB">
      <w:pPr>
        <w:pStyle w:val="ListParagraph"/>
        <w:numPr>
          <w:ilvl w:val="0"/>
          <w:numId w:val="3"/>
        </w:numPr>
        <w:spacing w:after="0"/>
        <w:jc w:val="both"/>
        <w:rPr>
          <w:rStyle w:val="Aucun"/>
          <w:sz w:val="21"/>
          <w:szCs w:val="21"/>
        </w:rPr>
      </w:pPr>
      <w:r>
        <w:rPr>
          <w:rStyle w:val="Aucun"/>
          <w:sz w:val="21"/>
          <w:szCs w:val="21"/>
        </w:rPr>
        <w:t>E</w:t>
      </w:r>
      <w:r w:rsidRPr="00DA21AB">
        <w:rPr>
          <w:rStyle w:val="Aucun"/>
          <w:sz w:val="21"/>
          <w:szCs w:val="21"/>
        </w:rPr>
        <w:t xml:space="preserve">stablish </w:t>
      </w:r>
      <w:r>
        <w:rPr>
          <w:rStyle w:val="Aucun"/>
          <w:sz w:val="21"/>
          <w:szCs w:val="21"/>
        </w:rPr>
        <w:t>recommendations for</w:t>
      </w:r>
      <w:r w:rsidRPr="00DA21AB">
        <w:rPr>
          <w:rStyle w:val="Aucun"/>
          <w:sz w:val="21"/>
          <w:szCs w:val="21"/>
        </w:rPr>
        <w:t xml:space="preserve"> ways in which students are </w:t>
      </w:r>
      <w:r w:rsidRPr="00765C51">
        <w:rPr>
          <w:rStyle w:val="Aucun"/>
          <w:b/>
          <w:bCs/>
          <w:sz w:val="21"/>
          <w:szCs w:val="21"/>
        </w:rPr>
        <w:t>monitored</w:t>
      </w:r>
      <w:r w:rsidRPr="00DA21AB">
        <w:rPr>
          <w:rStyle w:val="Aucun"/>
          <w:sz w:val="21"/>
          <w:szCs w:val="21"/>
        </w:rPr>
        <w:t xml:space="preserve">, and minimum </w:t>
      </w:r>
      <w:r w:rsidRPr="00765C51">
        <w:rPr>
          <w:rStyle w:val="Aucun"/>
          <w:b/>
          <w:bCs/>
          <w:sz w:val="21"/>
          <w:szCs w:val="21"/>
        </w:rPr>
        <w:t xml:space="preserve">standards are </w:t>
      </w:r>
      <w:proofErr w:type="gramStart"/>
      <w:r w:rsidRPr="00765C51">
        <w:rPr>
          <w:rStyle w:val="Aucun"/>
          <w:b/>
          <w:bCs/>
          <w:sz w:val="21"/>
          <w:szCs w:val="21"/>
        </w:rPr>
        <w:t>set</w:t>
      </w:r>
      <w:r w:rsidRPr="00DA21AB">
        <w:rPr>
          <w:rStyle w:val="Aucun"/>
          <w:sz w:val="21"/>
          <w:szCs w:val="21"/>
        </w:rPr>
        <w:t>,</w:t>
      </w:r>
      <w:proofErr w:type="gramEnd"/>
      <w:r w:rsidRPr="00DA21AB">
        <w:rPr>
          <w:rStyle w:val="Aucun"/>
          <w:sz w:val="21"/>
          <w:szCs w:val="21"/>
        </w:rPr>
        <w:t xml:space="preserve"> during their practical training hours</w:t>
      </w:r>
      <w:r w:rsidR="007326DD">
        <w:rPr>
          <w:rStyle w:val="Aucun"/>
          <w:sz w:val="21"/>
          <w:szCs w:val="21"/>
        </w:rPr>
        <w:t>.</w:t>
      </w:r>
    </w:p>
    <w:p w14:paraId="26A4B113" w14:textId="77777777" w:rsidR="003722C3" w:rsidRDefault="003722C3">
      <w:pPr>
        <w:pStyle w:val="Corps"/>
        <w:spacing w:after="0"/>
        <w:jc w:val="both"/>
        <w:rPr>
          <w:sz w:val="21"/>
          <w:szCs w:val="21"/>
          <w:lang w:val="en-US"/>
        </w:rPr>
      </w:pPr>
    </w:p>
    <w:p w14:paraId="1729E4EB" w14:textId="77777777" w:rsidR="003722C3" w:rsidRDefault="005D718C">
      <w:pPr>
        <w:pStyle w:val="ListParagraph"/>
        <w:numPr>
          <w:ilvl w:val="0"/>
          <w:numId w:val="3"/>
        </w:numPr>
        <w:spacing w:after="0"/>
        <w:jc w:val="both"/>
        <w:rPr>
          <w:sz w:val="21"/>
          <w:szCs w:val="21"/>
        </w:rPr>
      </w:pPr>
      <w:r>
        <w:rPr>
          <w:sz w:val="21"/>
          <w:szCs w:val="21"/>
        </w:rPr>
        <w:t xml:space="preserve">Renew efforts for capacity building within the </w:t>
      </w:r>
      <w:r>
        <w:rPr>
          <w:rStyle w:val="Aucun"/>
          <w:b/>
          <w:bCs/>
          <w:sz w:val="21"/>
          <w:szCs w:val="21"/>
        </w:rPr>
        <w:t>dental education workforce</w:t>
      </w:r>
      <w:r>
        <w:rPr>
          <w:sz w:val="21"/>
          <w:szCs w:val="21"/>
        </w:rPr>
        <w:t xml:space="preserve">. This includes increasing staffing levels (among which, qualified instructors and clinical supervisors) to improve clinical teaching ratios and ensure sufficient allocation of financial resources for undergraduate training and </w:t>
      </w:r>
      <w:r w:rsidRPr="00765C51">
        <w:rPr>
          <w:b/>
          <w:bCs/>
          <w:sz w:val="21"/>
          <w:szCs w:val="21"/>
        </w:rPr>
        <w:t>training infrastructures</w:t>
      </w:r>
      <w:r>
        <w:rPr>
          <w:sz w:val="21"/>
          <w:szCs w:val="21"/>
        </w:rPr>
        <w:t>.</w:t>
      </w:r>
    </w:p>
    <w:p w14:paraId="3D3FDBFF" w14:textId="77777777" w:rsidR="003722C3" w:rsidRDefault="003722C3">
      <w:pPr>
        <w:pStyle w:val="ListParagraph"/>
        <w:spacing w:after="0"/>
        <w:jc w:val="both"/>
        <w:rPr>
          <w:sz w:val="21"/>
          <w:szCs w:val="21"/>
        </w:rPr>
      </w:pPr>
    </w:p>
    <w:p w14:paraId="55E78A32" w14:textId="119CA0F8" w:rsidR="003722C3" w:rsidRDefault="005D718C">
      <w:pPr>
        <w:pStyle w:val="ListParagraph"/>
        <w:numPr>
          <w:ilvl w:val="0"/>
          <w:numId w:val="3"/>
        </w:numPr>
        <w:spacing w:after="0"/>
        <w:jc w:val="both"/>
        <w:rPr>
          <w:sz w:val="21"/>
          <w:szCs w:val="21"/>
        </w:rPr>
      </w:pPr>
      <w:r>
        <w:rPr>
          <w:sz w:val="21"/>
          <w:szCs w:val="21"/>
        </w:rPr>
        <w:t xml:space="preserve">Regularly update the subject list in Annex V </w:t>
      </w:r>
      <w:r w:rsidR="00566410">
        <w:rPr>
          <w:sz w:val="21"/>
          <w:szCs w:val="21"/>
        </w:rPr>
        <w:t xml:space="preserve">of the Directive, </w:t>
      </w:r>
      <w:r>
        <w:rPr>
          <w:sz w:val="21"/>
          <w:szCs w:val="21"/>
        </w:rPr>
        <w:t xml:space="preserve">to ensure that dental </w:t>
      </w:r>
      <w:proofErr w:type="spellStart"/>
      <w:r>
        <w:rPr>
          <w:sz w:val="21"/>
          <w:szCs w:val="21"/>
        </w:rPr>
        <w:t>programmes</w:t>
      </w:r>
      <w:proofErr w:type="spellEnd"/>
      <w:r>
        <w:rPr>
          <w:sz w:val="21"/>
          <w:szCs w:val="21"/>
        </w:rPr>
        <w:t xml:space="preserve"> remain aligned with</w:t>
      </w:r>
      <w:r>
        <w:rPr>
          <w:rStyle w:val="Aucun"/>
          <w:b/>
          <w:bCs/>
          <w:sz w:val="21"/>
          <w:szCs w:val="21"/>
        </w:rPr>
        <w:t xml:space="preserve"> technological and scientific advancements</w:t>
      </w:r>
    </w:p>
    <w:p w14:paraId="2EAD81B9" w14:textId="77777777" w:rsidR="003722C3" w:rsidRPr="00765C51" w:rsidRDefault="003722C3" w:rsidP="00765C51">
      <w:pPr>
        <w:ind w:left="360"/>
        <w:rPr>
          <w:sz w:val="21"/>
          <w:szCs w:val="21"/>
        </w:rPr>
      </w:pPr>
    </w:p>
    <w:p w14:paraId="51565CB7" w14:textId="77777777" w:rsidR="003722C3" w:rsidRPr="00C35444" w:rsidRDefault="005D718C">
      <w:pPr>
        <w:pStyle w:val="ListParagraph"/>
        <w:numPr>
          <w:ilvl w:val="0"/>
          <w:numId w:val="3"/>
        </w:numPr>
        <w:spacing w:after="0"/>
        <w:jc w:val="both"/>
        <w:rPr>
          <w:sz w:val="21"/>
          <w:szCs w:val="21"/>
        </w:rPr>
      </w:pPr>
      <w:r w:rsidRPr="00C35444">
        <w:rPr>
          <w:sz w:val="21"/>
          <w:szCs w:val="21"/>
        </w:rPr>
        <w:t xml:space="preserve">Encourage </w:t>
      </w:r>
      <w:r>
        <w:rPr>
          <w:sz w:val="21"/>
          <w:szCs w:val="21"/>
        </w:rPr>
        <w:t>measures to</w:t>
      </w:r>
      <w:r w:rsidRPr="00C35444">
        <w:rPr>
          <w:sz w:val="21"/>
          <w:szCs w:val="21"/>
        </w:rPr>
        <w:t xml:space="preserve"> </w:t>
      </w:r>
      <w:proofErr w:type="spellStart"/>
      <w:r w:rsidRPr="00C35444">
        <w:rPr>
          <w:sz w:val="21"/>
          <w:szCs w:val="21"/>
        </w:rPr>
        <w:t>standardise</w:t>
      </w:r>
      <w:proofErr w:type="spellEnd"/>
      <w:r w:rsidRPr="00C35444">
        <w:rPr>
          <w:sz w:val="21"/>
          <w:szCs w:val="21"/>
        </w:rPr>
        <w:t xml:space="preserve"> the</w:t>
      </w:r>
      <w:r>
        <w:rPr>
          <w:sz w:val="21"/>
          <w:szCs w:val="21"/>
        </w:rPr>
        <w:t xml:space="preserve"> </w:t>
      </w:r>
      <w:r>
        <w:rPr>
          <w:rStyle w:val="Aucun"/>
          <w:b/>
          <w:bCs/>
          <w:sz w:val="21"/>
          <w:szCs w:val="21"/>
        </w:rPr>
        <w:t>monitor</w:t>
      </w:r>
      <w:r w:rsidRPr="00C35444">
        <w:rPr>
          <w:rStyle w:val="Aucun"/>
          <w:b/>
          <w:bCs/>
          <w:sz w:val="21"/>
          <w:szCs w:val="21"/>
        </w:rPr>
        <w:t>ing of</w:t>
      </w:r>
      <w:r>
        <w:rPr>
          <w:rStyle w:val="Aucun"/>
          <w:b/>
          <w:bCs/>
          <w:sz w:val="21"/>
          <w:szCs w:val="21"/>
        </w:rPr>
        <w:t xml:space="preserve"> student performance</w:t>
      </w:r>
      <w:r>
        <w:rPr>
          <w:sz w:val="21"/>
          <w:szCs w:val="21"/>
        </w:rPr>
        <w:t xml:space="preserve"> that align with the wider group’s understanding of the term ‘competence’ and how it can be best adapted to suit individual institutional and local population needs.</w:t>
      </w:r>
    </w:p>
    <w:p w14:paraId="792FAF65" w14:textId="77777777" w:rsidR="003722C3" w:rsidRDefault="003722C3">
      <w:pPr>
        <w:pStyle w:val="ListParagraph"/>
        <w:spacing w:after="0"/>
        <w:jc w:val="both"/>
        <w:rPr>
          <w:sz w:val="21"/>
          <w:szCs w:val="21"/>
        </w:rPr>
      </w:pPr>
    </w:p>
    <w:p w14:paraId="48646F2A" w14:textId="40E9687C" w:rsidR="003722C3" w:rsidRDefault="005D718C">
      <w:pPr>
        <w:pStyle w:val="ListParagraph"/>
        <w:numPr>
          <w:ilvl w:val="0"/>
          <w:numId w:val="3"/>
        </w:numPr>
        <w:spacing w:after="0"/>
        <w:jc w:val="both"/>
        <w:rPr>
          <w:sz w:val="21"/>
          <w:szCs w:val="21"/>
        </w:rPr>
      </w:pPr>
      <w:r w:rsidRPr="00C35444">
        <w:rPr>
          <w:sz w:val="21"/>
          <w:szCs w:val="21"/>
        </w:rPr>
        <w:t>Mandate</w:t>
      </w:r>
      <w:r>
        <w:rPr>
          <w:sz w:val="21"/>
          <w:szCs w:val="21"/>
        </w:rPr>
        <w:t xml:space="preserve"> </w:t>
      </w:r>
      <w:r>
        <w:rPr>
          <w:rStyle w:val="Aucun"/>
          <w:b/>
          <w:bCs/>
          <w:sz w:val="21"/>
          <w:szCs w:val="21"/>
        </w:rPr>
        <w:t xml:space="preserve">a common EU accreditation scheme </w:t>
      </w:r>
      <w:r>
        <w:rPr>
          <w:sz w:val="21"/>
          <w:szCs w:val="21"/>
        </w:rPr>
        <w:t>for dental schools, to ensure a minimum common standard in the quality of dental education and encourage the free movement of dental students and professionals.</w:t>
      </w:r>
    </w:p>
    <w:p w14:paraId="174605E4" w14:textId="77777777" w:rsidR="00F94F05" w:rsidRPr="00977F50" w:rsidRDefault="00F94F05" w:rsidP="00977F50">
      <w:pPr>
        <w:pStyle w:val="ListParagraph"/>
        <w:rPr>
          <w:sz w:val="21"/>
          <w:szCs w:val="21"/>
        </w:rPr>
      </w:pPr>
    </w:p>
    <w:p w14:paraId="50097C24" w14:textId="77777777" w:rsidR="003722C3" w:rsidRPr="00765C51" w:rsidRDefault="003722C3" w:rsidP="00765C51">
      <w:pPr>
        <w:ind w:left="360"/>
        <w:rPr>
          <w:sz w:val="21"/>
          <w:szCs w:val="21"/>
        </w:rPr>
      </w:pPr>
    </w:p>
    <w:p w14:paraId="16EC61C6" w14:textId="4C00DCD7" w:rsidR="003722C3" w:rsidRDefault="00566410">
      <w:pPr>
        <w:pStyle w:val="ListParagraph"/>
        <w:numPr>
          <w:ilvl w:val="0"/>
          <w:numId w:val="3"/>
        </w:numPr>
        <w:spacing w:after="0"/>
        <w:jc w:val="both"/>
        <w:rPr>
          <w:sz w:val="21"/>
          <w:szCs w:val="21"/>
        </w:rPr>
      </w:pPr>
      <w:r w:rsidRPr="00EA74DD">
        <w:rPr>
          <w:sz w:val="21"/>
          <w:szCs w:val="21"/>
        </w:rPr>
        <w:lastRenderedPageBreak/>
        <w:t>Introduce in Annex</w:t>
      </w:r>
      <w:r>
        <w:rPr>
          <w:sz w:val="21"/>
          <w:szCs w:val="21"/>
        </w:rPr>
        <w:t xml:space="preserve"> of </w:t>
      </w:r>
      <w:r w:rsidRPr="00E75682">
        <w:rPr>
          <w:sz w:val="21"/>
          <w:szCs w:val="21"/>
        </w:rPr>
        <w:t>Directive 2005/36</w:t>
      </w:r>
      <w:r w:rsidRPr="002975CF">
        <w:rPr>
          <w:sz w:val="21"/>
          <w:szCs w:val="21"/>
        </w:rPr>
        <w:t>/</w:t>
      </w:r>
      <w:r w:rsidRPr="00E75682">
        <w:rPr>
          <w:sz w:val="21"/>
          <w:szCs w:val="21"/>
        </w:rPr>
        <w:t>EC</w:t>
      </w:r>
      <w:r>
        <w:rPr>
          <w:b/>
          <w:bCs/>
          <w:sz w:val="21"/>
          <w:szCs w:val="21"/>
        </w:rPr>
        <w:t xml:space="preserve"> </w:t>
      </w:r>
      <w:r w:rsidRPr="00EA74DD">
        <w:rPr>
          <w:sz w:val="21"/>
          <w:szCs w:val="21"/>
        </w:rPr>
        <w:t xml:space="preserve">the request for </w:t>
      </w:r>
      <w:r>
        <w:rPr>
          <w:sz w:val="21"/>
          <w:szCs w:val="21"/>
        </w:rPr>
        <w:t>an</w:t>
      </w:r>
      <w:r w:rsidR="005D718C">
        <w:rPr>
          <w:sz w:val="21"/>
          <w:szCs w:val="21"/>
        </w:rPr>
        <w:t xml:space="preserve"> </w:t>
      </w:r>
      <w:r w:rsidR="005D718C">
        <w:rPr>
          <w:rStyle w:val="Aucun"/>
          <w:b/>
          <w:bCs/>
          <w:sz w:val="21"/>
          <w:szCs w:val="21"/>
        </w:rPr>
        <w:t>electronic portfolio of study</w:t>
      </w:r>
      <w:r w:rsidR="005D718C" w:rsidRPr="00C35444">
        <w:rPr>
          <w:rStyle w:val="Aucun"/>
          <w:b/>
          <w:bCs/>
          <w:sz w:val="21"/>
          <w:szCs w:val="21"/>
        </w:rPr>
        <w:t>.</w:t>
      </w:r>
      <w:r w:rsidR="005D718C">
        <w:rPr>
          <w:rStyle w:val="Aucun"/>
          <w:b/>
          <w:bCs/>
          <w:sz w:val="21"/>
          <w:szCs w:val="21"/>
        </w:rPr>
        <w:t xml:space="preserve"> </w:t>
      </w:r>
      <w:r w:rsidR="005D718C" w:rsidRPr="00C35444">
        <w:rPr>
          <w:sz w:val="21"/>
          <w:szCs w:val="21"/>
        </w:rPr>
        <w:t xml:space="preserve">In line with </w:t>
      </w:r>
      <w:r w:rsidR="005D718C">
        <w:rPr>
          <w:sz w:val="21"/>
          <w:szCs w:val="21"/>
        </w:rPr>
        <w:t xml:space="preserve">the EU Skills Portability Initiative </w:t>
      </w:r>
      <w:r w:rsidR="00765C51" w:rsidRPr="00C35444">
        <w:rPr>
          <w:sz w:val="21"/>
          <w:szCs w:val="21"/>
        </w:rPr>
        <w:t xml:space="preserve">this should </w:t>
      </w:r>
      <w:r w:rsidR="005D718C">
        <w:rPr>
          <w:sz w:val="21"/>
          <w:szCs w:val="21"/>
        </w:rPr>
        <w:t xml:space="preserve">capture </w:t>
      </w:r>
      <w:proofErr w:type="gramStart"/>
      <w:r w:rsidR="005D718C">
        <w:rPr>
          <w:sz w:val="21"/>
          <w:szCs w:val="21"/>
        </w:rPr>
        <w:t>all of</w:t>
      </w:r>
      <w:proofErr w:type="gramEnd"/>
      <w:r w:rsidR="005D718C">
        <w:rPr>
          <w:sz w:val="21"/>
          <w:szCs w:val="21"/>
        </w:rPr>
        <w:t xml:space="preserve"> the practical and theoretical competencies acquired in undergraduate dental </w:t>
      </w:r>
      <w:r w:rsidR="001556CC">
        <w:rPr>
          <w:sz w:val="21"/>
          <w:szCs w:val="21"/>
        </w:rPr>
        <w:t>studies and</w:t>
      </w:r>
      <w:r w:rsidR="00765C51">
        <w:rPr>
          <w:sz w:val="21"/>
          <w:szCs w:val="21"/>
        </w:rPr>
        <w:t xml:space="preserve"> </w:t>
      </w:r>
      <w:r w:rsidR="005D718C" w:rsidRPr="00C35444">
        <w:rPr>
          <w:sz w:val="21"/>
          <w:szCs w:val="21"/>
        </w:rPr>
        <w:t>help to ensure consistent monitoring of student development towards graduation.</w:t>
      </w:r>
    </w:p>
    <w:p w14:paraId="33E445D9" w14:textId="77777777" w:rsidR="00F94F05" w:rsidRPr="003D1850" w:rsidRDefault="00F94F05" w:rsidP="003D1850">
      <w:pPr>
        <w:ind w:left="360"/>
        <w:rPr>
          <w:sz w:val="21"/>
          <w:szCs w:val="21"/>
        </w:rPr>
      </w:pPr>
    </w:p>
    <w:p w14:paraId="7F5D2869" w14:textId="62FA3924" w:rsidR="00F94F05" w:rsidRDefault="00406B0A">
      <w:pPr>
        <w:pStyle w:val="ListParagraph"/>
        <w:numPr>
          <w:ilvl w:val="0"/>
          <w:numId w:val="3"/>
        </w:numPr>
        <w:spacing w:after="0"/>
        <w:jc w:val="both"/>
        <w:rPr>
          <w:sz w:val="21"/>
          <w:szCs w:val="21"/>
        </w:rPr>
      </w:pPr>
      <w:r>
        <w:rPr>
          <w:sz w:val="21"/>
          <w:szCs w:val="21"/>
        </w:rPr>
        <w:t>Update Article 55 of the Directive</w:t>
      </w:r>
      <w:r w:rsidR="003D1850">
        <w:rPr>
          <w:sz w:val="21"/>
          <w:szCs w:val="21"/>
        </w:rPr>
        <w:t xml:space="preserve"> for the introduction of supervised vocational training for all registering dentists, to be approved by a health insurance fund before</w:t>
      </w:r>
      <w:r w:rsidR="001556CC">
        <w:rPr>
          <w:sz w:val="21"/>
          <w:szCs w:val="21"/>
        </w:rPr>
        <w:t xml:space="preserve"> delivering the </w:t>
      </w:r>
      <w:r w:rsidR="003D1850">
        <w:rPr>
          <w:sz w:val="21"/>
          <w:szCs w:val="21"/>
        </w:rPr>
        <w:t>authorization to practice.</w:t>
      </w:r>
    </w:p>
    <w:p w14:paraId="4F67CA3C" w14:textId="77777777" w:rsidR="001556CC" w:rsidRPr="001556CC" w:rsidRDefault="001556CC" w:rsidP="001556CC">
      <w:pPr>
        <w:rPr>
          <w:sz w:val="21"/>
          <w:szCs w:val="21"/>
        </w:rPr>
      </w:pPr>
    </w:p>
    <w:p w14:paraId="3D465CED" w14:textId="0732BEF0" w:rsidR="001556CC" w:rsidRDefault="001556CC" w:rsidP="007326DD">
      <w:pPr>
        <w:pStyle w:val="ListParagraph"/>
        <w:numPr>
          <w:ilvl w:val="0"/>
          <w:numId w:val="3"/>
        </w:numPr>
        <w:spacing w:after="0"/>
        <w:jc w:val="both"/>
        <w:rPr>
          <w:sz w:val="21"/>
          <w:szCs w:val="21"/>
        </w:rPr>
      </w:pPr>
      <w:r w:rsidRPr="001556CC">
        <w:rPr>
          <w:sz w:val="21"/>
          <w:szCs w:val="21"/>
        </w:rPr>
        <w:t xml:space="preserve">Encourage Member States to incorporate national support </w:t>
      </w:r>
      <w:proofErr w:type="spellStart"/>
      <w:r w:rsidRPr="001556CC">
        <w:rPr>
          <w:sz w:val="21"/>
          <w:szCs w:val="21"/>
        </w:rPr>
        <w:t>programmes</w:t>
      </w:r>
      <w:proofErr w:type="spellEnd"/>
      <w:r w:rsidRPr="001556CC">
        <w:rPr>
          <w:sz w:val="21"/>
          <w:szCs w:val="21"/>
        </w:rPr>
        <w:t xml:space="preserve"> into the recognition process for foreign dental qualifications, including supervised clinical practice and training modules on the structure and functioning of the national </w:t>
      </w:r>
      <w:r>
        <w:rPr>
          <w:sz w:val="21"/>
          <w:szCs w:val="21"/>
        </w:rPr>
        <w:t xml:space="preserve">oral </w:t>
      </w:r>
      <w:r w:rsidRPr="001556CC">
        <w:rPr>
          <w:sz w:val="21"/>
          <w:szCs w:val="21"/>
        </w:rPr>
        <w:t>healthcare system.</w:t>
      </w:r>
    </w:p>
    <w:p w14:paraId="7C5FAA88" w14:textId="77777777" w:rsidR="001556CC" w:rsidRPr="001556CC" w:rsidRDefault="001556CC" w:rsidP="001556CC">
      <w:pPr>
        <w:jc w:val="both"/>
        <w:rPr>
          <w:sz w:val="21"/>
          <w:szCs w:val="21"/>
        </w:rPr>
      </w:pPr>
    </w:p>
    <w:p w14:paraId="05F05DF7" w14:textId="77777777" w:rsidR="007326DD" w:rsidRPr="00CD2826" w:rsidRDefault="007326DD" w:rsidP="007326DD">
      <w:pPr>
        <w:pStyle w:val="ListParagraph"/>
        <w:numPr>
          <w:ilvl w:val="0"/>
          <w:numId w:val="3"/>
        </w:numPr>
        <w:spacing w:after="0"/>
        <w:jc w:val="both"/>
        <w:rPr>
          <w:sz w:val="21"/>
          <w:szCs w:val="21"/>
        </w:rPr>
      </w:pPr>
      <w:r w:rsidRPr="00CD2826">
        <w:rPr>
          <w:rStyle w:val="Aucun"/>
          <w:sz w:val="21"/>
          <w:szCs w:val="21"/>
        </w:rPr>
        <w:t>Improve the use of the Directive’s</w:t>
      </w:r>
      <w:r w:rsidRPr="00CD2826">
        <w:rPr>
          <w:rStyle w:val="Aucun"/>
          <w:b/>
          <w:bCs/>
          <w:sz w:val="21"/>
          <w:szCs w:val="21"/>
        </w:rPr>
        <w:t xml:space="preserve"> EU alert mechanism</w:t>
      </w:r>
      <w:r w:rsidRPr="00CD2826">
        <w:rPr>
          <w:rStyle w:val="Aucun"/>
          <w:sz w:val="21"/>
          <w:szCs w:val="21"/>
        </w:rPr>
        <w:t xml:space="preserve"> across all EU Member States, particularly in cases involving professional sanctions, suspected clinical misconduct or false diplomas in the home country.</w:t>
      </w:r>
      <w:r w:rsidRPr="00CD2826">
        <w:rPr>
          <w:sz w:val="21"/>
          <w:szCs w:val="21"/>
        </w:rPr>
        <w:t xml:space="preserve"> </w:t>
      </w:r>
    </w:p>
    <w:p w14:paraId="29E29D19" w14:textId="77777777" w:rsidR="003722C3" w:rsidRDefault="003722C3">
      <w:pPr>
        <w:pStyle w:val="Corps"/>
        <w:rPr>
          <w:rFonts w:ascii="Georgia" w:eastAsia="Georgia" w:hAnsi="Georgia" w:cs="Georgia"/>
          <w:b/>
          <w:bCs/>
          <w:color w:val="002060"/>
          <w:sz w:val="21"/>
          <w:szCs w:val="21"/>
          <w:u w:color="002060"/>
          <w:lang w:val="en-US"/>
        </w:rPr>
      </w:pPr>
    </w:p>
    <w:p w14:paraId="75B19B06" w14:textId="77777777" w:rsidR="003722C3" w:rsidRDefault="005D718C">
      <w:pPr>
        <w:pStyle w:val="Corps"/>
        <w:rPr>
          <w:rStyle w:val="Aucun"/>
          <w:rFonts w:ascii="Georgia" w:eastAsia="Georgia" w:hAnsi="Georgia" w:cs="Georgia"/>
          <w:color w:val="002060"/>
          <w:sz w:val="21"/>
          <w:szCs w:val="21"/>
          <w:u w:color="002060"/>
        </w:rPr>
      </w:pPr>
      <w:r>
        <w:rPr>
          <w:noProof/>
          <w:sz w:val="21"/>
          <w:szCs w:val="21"/>
        </w:rPr>
        <w:drawing>
          <wp:anchor distT="0" distB="0" distL="0" distR="0" simplePos="0" relativeHeight="251662336" behindDoc="0" locked="0" layoutInCell="1" allowOverlap="1" wp14:anchorId="1C098BE3" wp14:editId="35483D9C">
            <wp:simplePos x="0" y="0"/>
            <wp:positionH relativeFrom="column">
              <wp:posOffset>4137938</wp:posOffset>
            </wp:positionH>
            <wp:positionV relativeFrom="line">
              <wp:posOffset>232080</wp:posOffset>
            </wp:positionV>
            <wp:extent cx="1503817" cy="958292"/>
            <wp:effectExtent l="0" t="0" r="0" b="0"/>
            <wp:wrapNone/>
            <wp:docPr id="1073741834" name="officeArt object" descr="EDSA - European Students' Union"/>
            <wp:cNvGraphicFramePr/>
            <a:graphic xmlns:a="http://schemas.openxmlformats.org/drawingml/2006/main">
              <a:graphicData uri="http://schemas.openxmlformats.org/drawingml/2006/picture">
                <pic:pic xmlns:pic="http://schemas.openxmlformats.org/drawingml/2006/picture">
                  <pic:nvPicPr>
                    <pic:cNvPr id="1073741834" name="EDSA - European Students' Union" descr="EDSA - European Students' Union"/>
                    <pic:cNvPicPr>
                      <a:picLocks noChangeAspect="1"/>
                    </pic:cNvPicPr>
                  </pic:nvPicPr>
                  <pic:blipFill>
                    <a:blip r:embed="rId8"/>
                    <a:srcRect l="9265" t="22222" r="7034" b="24439"/>
                    <a:stretch>
                      <a:fillRect/>
                    </a:stretch>
                  </pic:blipFill>
                  <pic:spPr>
                    <a:xfrm>
                      <a:off x="0" y="0"/>
                      <a:ext cx="1503817" cy="958292"/>
                    </a:xfrm>
                    <a:prstGeom prst="rect">
                      <a:avLst/>
                    </a:prstGeom>
                    <a:ln w="12700" cap="flat">
                      <a:noFill/>
                      <a:miter lim="400000"/>
                    </a:ln>
                    <a:effectLst/>
                  </pic:spPr>
                </pic:pic>
              </a:graphicData>
            </a:graphic>
          </wp:anchor>
        </w:drawing>
      </w:r>
      <w:r>
        <w:rPr>
          <w:rStyle w:val="Aucun"/>
          <w:rFonts w:ascii="Georgia" w:hAnsi="Georgia"/>
          <w:b/>
          <w:bCs/>
          <w:color w:val="002060"/>
          <w:sz w:val="21"/>
          <w:szCs w:val="21"/>
          <w:u w:color="002060"/>
        </w:rPr>
        <w:t>Co-signatories</w:t>
      </w:r>
      <w:r>
        <w:rPr>
          <w:rStyle w:val="Aucun"/>
          <w:rFonts w:ascii="Georgia" w:hAnsi="Georgia"/>
          <w:color w:val="002060"/>
          <w:sz w:val="21"/>
          <w:szCs w:val="21"/>
          <w:u w:color="002060"/>
        </w:rPr>
        <w:t xml:space="preserve">: </w:t>
      </w:r>
    </w:p>
    <w:p w14:paraId="3995384E" w14:textId="77777777" w:rsidR="003722C3" w:rsidRDefault="005D718C">
      <w:pPr>
        <w:pStyle w:val="Corps"/>
        <w:rPr>
          <w:rStyle w:val="Aucun"/>
          <w:rFonts w:ascii="Georgia" w:eastAsia="Georgia" w:hAnsi="Georgia" w:cs="Georgia"/>
          <w:color w:val="002060"/>
          <w:sz w:val="21"/>
          <w:szCs w:val="21"/>
          <w:u w:color="002060"/>
        </w:rPr>
      </w:pPr>
      <w:r>
        <w:rPr>
          <w:noProof/>
          <w:sz w:val="21"/>
          <w:szCs w:val="21"/>
        </w:rPr>
        <w:drawing>
          <wp:anchor distT="0" distB="0" distL="0" distR="0" simplePos="0" relativeHeight="251660288" behindDoc="0" locked="0" layoutInCell="1" allowOverlap="1" wp14:anchorId="2F7061B7" wp14:editId="05616D5F">
            <wp:simplePos x="0" y="0"/>
            <wp:positionH relativeFrom="page">
              <wp:posOffset>3509390</wp:posOffset>
            </wp:positionH>
            <wp:positionV relativeFrom="line">
              <wp:posOffset>4444</wp:posOffset>
            </wp:positionV>
            <wp:extent cx="541530" cy="687628"/>
            <wp:effectExtent l="0" t="0" r="0" b="0"/>
            <wp:wrapNone/>
            <wp:docPr id="1073741835" name="officeArt object" descr="Picture 2"/>
            <wp:cNvGraphicFramePr/>
            <a:graphic xmlns:a="http://schemas.openxmlformats.org/drawingml/2006/main">
              <a:graphicData uri="http://schemas.openxmlformats.org/drawingml/2006/picture">
                <pic:pic xmlns:pic="http://schemas.openxmlformats.org/drawingml/2006/picture">
                  <pic:nvPicPr>
                    <pic:cNvPr id="1073741835" name="Picture 2" descr="Picture 2"/>
                    <pic:cNvPicPr>
                      <a:picLocks noChangeAspect="1"/>
                    </pic:cNvPicPr>
                  </pic:nvPicPr>
                  <pic:blipFill>
                    <a:blip r:embed="rId9"/>
                    <a:stretch>
                      <a:fillRect/>
                    </a:stretch>
                  </pic:blipFill>
                  <pic:spPr>
                    <a:xfrm>
                      <a:off x="0" y="0"/>
                      <a:ext cx="541530" cy="687628"/>
                    </a:xfrm>
                    <a:prstGeom prst="rect">
                      <a:avLst/>
                    </a:prstGeom>
                    <a:ln w="12700" cap="flat">
                      <a:noFill/>
                      <a:miter lim="400000"/>
                    </a:ln>
                    <a:effectLst/>
                  </pic:spPr>
                </pic:pic>
              </a:graphicData>
            </a:graphic>
          </wp:anchor>
        </w:drawing>
      </w:r>
    </w:p>
    <w:p w14:paraId="2C9DDD62" w14:textId="77777777" w:rsidR="003722C3" w:rsidRDefault="005D718C">
      <w:pPr>
        <w:pStyle w:val="Corps"/>
        <w:rPr>
          <w:sz w:val="21"/>
          <w:szCs w:val="21"/>
        </w:rPr>
      </w:pPr>
      <w:r>
        <w:rPr>
          <w:noProof/>
          <w:sz w:val="21"/>
          <w:szCs w:val="21"/>
        </w:rPr>
        <w:drawing>
          <wp:anchor distT="0" distB="0" distL="0" distR="0" simplePos="0" relativeHeight="251659264" behindDoc="0" locked="0" layoutInCell="1" allowOverlap="1" wp14:anchorId="05AD785B" wp14:editId="6AEF004A">
            <wp:simplePos x="0" y="0"/>
            <wp:positionH relativeFrom="page">
              <wp:posOffset>994486</wp:posOffset>
            </wp:positionH>
            <wp:positionV relativeFrom="line">
              <wp:posOffset>9525</wp:posOffset>
            </wp:positionV>
            <wp:extent cx="1645920" cy="314653"/>
            <wp:effectExtent l="0" t="0" r="0" b="0"/>
            <wp:wrapNone/>
            <wp:docPr id="1073741836" name="officeArt object" descr="Budapest 2026 | ADEE - Association for Dental Education in Europe"/>
            <wp:cNvGraphicFramePr/>
            <a:graphic xmlns:a="http://schemas.openxmlformats.org/drawingml/2006/main">
              <a:graphicData uri="http://schemas.openxmlformats.org/drawingml/2006/picture">
                <pic:pic xmlns:pic="http://schemas.openxmlformats.org/drawingml/2006/picture">
                  <pic:nvPicPr>
                    <pic:cNvPr id="1073741836" name="Budapest 2026 | ADEE - Association for Dental Education in Europe" descr="Budapest 2026 | ADEE - Association for Dental Education in Europe"/>
                    <pic:cNvPicPr>
                      <a:picLocks noChangeAspect="1"/>
                    </pic:cNvPicPr>
                  </pic:nvPicPr>
                  <pic:blipFill>
                    <a:blip r:embed="rId10"/>
                    <a:stretch>
                      <a:fillRect/>
                    </a:stretch>
                  </pic:blipFill>
                  <pic:spPr>
                    <a:xfrm>
                      <a:off x="0" y="0"/>
                      <a:ext cx="1645920" cy="314653"/>
                    </a:xfrm>
                    <a:prstGeom prst="rect">
                      <a:avLst/>
                    </a:prstGeom>
                    <a:ln w="12700" cap="flat">
                      <a:noFill/>
                      <a:miter lim="400000"/>
                    </a:ln>
                    <a:effectLst/>
                  </pic:spPr>
                </pic:pic>
              </a:graphicData>
            </a:graphic>
          </wp:anchor>
        </w:drawing>
      </w:r>
    </w:p>
    <w:p w14:paraId="3F42B24C" w14:textId="77777777" w:rsidR="003722C3" w:rsidRDefault="003722C3">
      <w:pPr>
        <w:pStyle w:val="Corps"/>
        <w:rPr>
          <w:sz w:val="21"/>
          <w:szCs w:val="21"/>
          <w:lang w:val="en-US"/>
        </w:rPr>
      </w:pPr>
    </w:p>
    <w:p w14:paraId="7CBEE233" w14:textId="77777777" w:rsidR="003722C3" w:rsidRDefault="005D718C">
      <w:pPr>
        <w:pStyle w:val="Corps"/>
        <w:rPr>
          <w:sz w:val="21"/>
          <w:szCs w:val="21"/>
        </w:rPr>
      </w:pPr>
      <w:r>
        <w:rPr>
          <w:noProof/>
          <w:sz w:val="21"/>
          <w:szCs w:val="21"/>
        </w:rPr>
        <w:drawing>
          <wp:anchor distT="0" distB="0" distL="0" distR="0" simplePos="0" relativeHeight="251663360" behindDoc="0" locked="0" layoutInCell="1" allowOverlap="1" wp14:anchorId="6DEB10CA" wp14:editId="6DF0039A">
            <wp:simplePos x="0" y="0"/>
            <wp:positionH relativeFrom="page">
              <wp:posOffset>3044977</wp:posOffset>
            </wp:positionH>
            <wp:positionV relativeFrom="line">
              <wp:posOffset>172085</wp:posOffset>
            </wp:positionV>
            <wp:extent cx="1470356" cy="476656"/>
            <wp:effectExtent l="0" t="0" r="0" b="0"/>
            <wp:wrapNone/>
            <wp:docPr id="1073741837" name="officeArt object" descr="Our Board Members - Oral Health Platform"/>
            <wp:cNvGraphicFramePr/>
            <a:graphic xmlns:a="http://schemas.openxmlformats.org/drawingml/2006/main">
              <a:graphicData uri="http://schemas.openxmlformats.org/drawingml/2006/picture">
                <pic:pic xmlns:pic="http://schemas.openxmlformats.org/drawingml/2006/picture">
                  <pic:nvPicPr>
                    <pic:cNvPr id="1073741837" name="Our Board Members - Oral Health Platform" descr="Our Board Members - Oral Health Platform"/>
                    <pic:cNvPicPr>
                      <a:picLocks noChangeAspect="1"/>
                    </pic:cNvPicPr>
                  </pic:nvPicPr>
                  <pic:blipFill>
                    <a:blip r:embed="rId11"/>
                    <a:stretch>
                      <a:fillRect/>
                    </a:stretch>
                  </pic:blipFill>
                  <pic:spPr>
                    <a:xfrm>
                      <a:off x="0" y="0"/>
                      <a:ext cx="1470356" cy="476656"/>
                    </a:xfrm>
                    <a:prstGeom prst="rect">
                      <a:avLst/>
                    </a:prstGeom>
                    <a:ln w="12700" cap="flat">
                      <a:noFill/>
                      <a:miter lim="400000"/>
                    </a:ln>
                    <a:effectLst/>
                  </pic:spPr>
                </pic:pic>
              </a:graphicData>
            </a:graphic>
          </wp:anchor>
        </w:drawing>
      </w:r>
      <w:r>
        <w:rPr>
          <w:noProof/>
          <w:sz w:val="21"/>
          <w:szCs w:val="21"/>
        </w:rPr>
        <w:drawing>
          <wp:anchor distT="0" distB="0" distL="0" distR="0" simplePos="0" relativeHeight="251661312" behindDoc="0" locked="0" layoutInCell="1" allowOverlap="1" wp14:anchorId="2BC70C47" wp14:editId="0E2ED7D6">
            <wp:simplePos x="0" y="0"/>
            <wp:positionH relativeFrom="column">
              <wp:posOffset>51204</wp:posOffset>
            </wp:positionH>
            <wp:positionV relativeFrom="line">
              <wp:posOffset>212817</wp:posOffset>
            </wp:positionV>
            <wp:extent cx="1258216" cy="418525"/>
            <wp:effectExtent l="0" t="0" r="0" b="0"/>
            <wp:wrapNone/>
            <wp:docPr id="1073741838" name="officeArt object" descr="FEDCAR | Federation of European Dental Competent Authorities and Regulators"/>
            <wp:cNvGraphicFramePr/>
            <a:graphic xmlns:a="http://schemas.openxmlformats.org/drawingml/2006/main">
              <a:graphicData uri="http://schemas.openxmlformats.org/drawingml/2006/picture">
                <pic:pic xmlns:pic="http://schemas.openxmlformats.org/drawingml/2006/picture">
                  <pic:nvPicPr>
                    <pic:cNvPr id="1073741838" name="FEDCAR | Federation of European Dental Competent Authorities and Regulators" descr="FEDCAR | Federation of European Dental Competent Authorities and Regulators"/>
                    <pic:cNvPicPr>
                      <a:picLocks noChangeAspect="1"/>
                    </pic:cNvPicPr>
                  </pic:nvPicPr>
                  <pic:blipFill>
                    <a:blip r:embed="rId12"/>
                    <a:stretch>
                      <a:fillRect/>
                    </a:stretch>
                  </pic:blipFill>
                  <pic:spPr>
                    <a:xfrm>
                      <a:off x="0" y="0"/>
                      <a:ext cx="1258216" cy="418525"/>
                    </a:xfrm>
                    <a:prstGeom prst="rect">
                      <a:avLst/>
                    </a:prstGeom>
                    <a:ln w="12700" cap="flat">
                      <a:noFill/>
                      <a:miter lim="400000"/>
                    </a:ln>
                    <a:effectLst/>
                  </pic:spPr>
                </pic:pic>
              </a:graphicData>
            </a:graphic>
          </wp:anchor>
        </w:drawing>
      </w:r>
      <w:r>
        <w:rPr>
          <w:noProof/>
          <w:sz w:val="21"/>
          <w:szCs w:val="21"/>
        </w:rPr>
        <w:drawing>
          <wp:anchor distT="0" distB="0" distL="0" distR="0" simplePos="0" relativeHeight="251664384" behindDoc="0" locked="0" layoutInCell="1" allowOverlap="1" wp14:anchorId="361AF0A1" wp14:editId="428E19B2">
            <wp:simplePos x="0" y="0"/>
            <wp:positionH relativeFrom="page">
              <wp:posOffset>5082997</wp:posOffset>
            </wp:positionH>
            <wp:positionV relativeFrom="line">
              <wp:posOffset>219700</wp:posOffset>
            </wp:positionV>
            <wp:extent cx="1333877" cy="409651"/>
            <wp:effectExtent l="0" t="0" r="0" b="0"/>
            <wp:wrapNone/>
            <wp:docPr id="1073741839" name="officeArt object" descr="European Regional Organisation of the Fédération Dentaire Internationale"/>
            <wp:cNvGraphicFramePr/>
            <a:graphic xmlns:a="http://schemas.openxmlformats.org/drawingml/2006/main">
              <a:graphicData uri="http://schemas.openxmlformats.org/drawingml/2006/picture">
                <pic:pic xmlns:pic="http://schemas.openxmlformats.org/drawingml/2006/picture">
                  <pic:nvPicPr>
                    <pic:cNvPr id="1073741839" name="European Regional Organisation of the Fédération Dentaire Internationale" descr="European Regional Organisation of the Fédération Dentaire Internationale"/>
                    <pic:cNvPicPr>
                      <a:picLocks noChangeAspect="1"/>
                    </pic:cNvPicPr>
                  </pic:nvPicPr>
                  <pic:blipFill>
                    <a:blip r:embed="rId13"/>
                    <a:stretch>
                      <a:fillRect/>
                    </a:stretch>
                  </pic:blipFill>
                  <pic:spPr>
                    <a:xfrm>
                      <a:off x="0" y="0"/>
                      <a:ext cx="1333877" cy="409651"/>
                    </a:xfrm>
                    <a:prstGeom prst="rect">
                      <a:avLst/>
                    </a:prstGeom>
                    <a:ln w="12700" cap="flat">
                      <a:noFill/>
                      <a:miter lim="400000"/>
                    </a:ln>
                    <a:effectLst/>
                  </pic:spPr>
                </pic:pic>
              </a:graphicData>
            </a:graphic>
          </wp:anchor>
        </w:drawing>
      </w:r>
    </w:p>
    <w:p w14:paraId="41F8C181" w14:textId="77777777" w:rsidR="003722C3" w:rsidRDefault="003722C3">
      <w:pPr>
        <w:pStyle w:val="Corps"/>
        <w:rPr>
          <w:sz w:val="21"/>
          <w:szCs w:val="21"/>
          <w:lang w:val="en-US"/>
        </w:rPr>
      </w:pPr>
    </w:p>
    <w:p w14:paraId="7F2438D1" w14:textId="77777777" w:rsidR="003722C3" w:rsidRDefault="003722C3">
      <w:pPr>
        <w:pStyle w:val="Corps"/>
        <w:rPr>
          <w:sz w:val="21"/>
          <w:szCs w:val="21"/>
          <w:lang w:val="en-US"/>
        </w:rPr>
      </w:pPr>
    </w:p>
    <w:p w14:paraId="2BA4AAA7" w14:textId="77777777" w:rsidR="003722C3" w:rsidRDefault="003722C3">
      <w:pPr>
        <w:pStyle w:val="Corps"/>
        <w:rPr>
          <w:sz w:val="21"/>
          <w:szCs w:val="21"/>
          <w:lang w:val="en-US"/>
        </w:rPr>
      </w:pPr>
    </w:p>
    <w:p w14:paraId="6733A4E7" w14:textId="77777777" w:rsidR="003722C3" w:rsidRDefault="005D718C">
      <w:pPr>
        <w:pStyle w:val="Corps"/>
        <w:rPr>
          <w:rStyle w:val="Aucun"/>
          <w:rFonts w:ascii="Georgia" w:eastAsia="Georgia" w:hAnsi="Georgia" w:cs="Georgia"/>
          <w:sz w:val="21"/>
          <w:szCs w:val="21"/>
        </w:rPr>
      </w:pPr>
      <w:r>
        <w:rPr>
          <w:rStyle w:val="Aucun"/>
          <w:rFonts w:ascii="Georgia" w:hAnsi="Georgia"/>
          <w:color w:val="002060"/>
          <w:sz w:val="21"/>
          <w:szCs w:val="21"/>
          <w:u w:val="single" w:color="002060"/>
        </w:rPr>
        <w:t>Full names</w:t>
      </w:r>
      <w:r>
        <w:rPr>
          <w:rStyle w:val="Aucun"/>
          <w:rFonts w:ascii="Georgia" w:hAnsi="Georgia"/>
          <w:sz w:val="21"/>
          <w:szCs w:val="21"/>
        </w:rPr>
        <w:t xml:space="preserve">: </w:t>
      </w:r>
    </w:p>
    <w:p w14:paraId="434A22C3" w14:textId="77777777" w:rsidR="003722C3" w:rsidRDefault="005D718C">
      <w:pPr>
        <w:pStyle w:val="Corps"/>
        <w:rPr>
          <w:rStyle w:val="Aucun"/>
          <w:rFonts w:ascii="Georgia" w:eastAsia="Georgia" w:hAnsi="Georgia" w:cs="Georgia"/>
          <w:sz w:val="21"/>
          <w:szCs w:val="21"/>
        </w:rPr>
      </w:pPr>
      <w:r>
        <w:rPr>
          <w:rStyle w:val="Aucun"/>
          <w:rFonts w:ascii="Georgia" w:hAnsi="Georgia"/>
          <w:sz w:val="21"/>
          <w:szCs w:val="21"/>
        </w:rPr>
        <w:t>The Association for Dental Education in Europe (ADEE)</w:t>
      </w:r>
    </w:p>
    <w:p w14:paraId="0E245B73" w14:textId="77777777" w:rsidR="003722C3" w:rsidRDefault="005D718C">
      <w:pPr>
        <w:pStyle w:val="Corps"/>
        <w:rPr>
          <w:rStyle w:val="Aucun"/>
          <w:rFonts w:ascii="Georgia" w:eastAsia="Georgia" w:hAnsi="Georgia" w:cs="Georgia"/>
          <w:sz w:val="21"/>
          <w:szCs w:val="21"/>
        </w:rPr>
      </w:pPr>
      <w:r>
        <w:rPr>
          <w:rStyle w:val="Aucun"/>
          <w:rFonts w:ascii="Georgia" w:hAnsi="Georgia"/>
          <w:sz w:val="21"/>
          <w:szCs w:val="21"/>
        </w:rPr>
        <w:t>The Council of European Chief Dental Officers (CECDO)</w:t>
      </w:r>
    </w:p>
    <w:p w14:paraId="23D4FEA1" w14:textId="77777777" w:rsidR="003722C3" w:rsidRDefault="005D718C">
      <w:pPr>
        <w:pStyle w:val="Corps"/>
        <w:rPr>
          <w:rStyle w:val="Aucun"/>
          <w:rFonts w:ascii="Georgia" w:eastAsia="Georgia" w:hAnsi="Georgia" w:cs="Georgia"/>
          <w:sz w:val="21"/>
          <w:szCs w:val="21"/>
        </w:rPr>
      </w:pPr>
      <w:r>
        <w:rPr>
          <w:rStyle w:val="Aucun"/>
          <w:rFonts w:ascii="Georgia" w:hAnsi="Georgia"/>
          <w:sz w:val="21"/>
          <w:szCs w:val="21"/>
        </w:rPr>
        <w:t>The Council of European Dentists (CED)</w:t>
      </w:r>
    </w:p>
    <w:p w14:paraId="3D3934A4" w14:textId="77777777" w:rsidR="003722C3" w:rsidRDefault="005D718C">
      <w:pPr>
        <w:pStyle w:val="Corps"/>
        <w:rPr>
          <w:rStyle w:val="Aucun"/>
          <w:rFonts w:ascii="Georgia" w:eastAsia="Georgia" w:hAnsi="Georgia" w:cs="Georgia"/>
          <w:sz w:val="21"/>
          <w:szCs w:val="21"/>
        </w:rPr>
      </w:pPr>
      <w:r>
        <w:rPr>
          <w:rStyle w:val="Aucun"/>
          <w:rFonts w:ascii="Georgia" w:hAnsi="Georgia"/>
          <w:sz w:val="21"/>
          <w:szCs w:val="21"/>
        </w:rPr>
        <w:t>The European Dental Students Association (EDSA)</w:t>
      </w:r>
    </w:p>
    <w:p w14:paraId="56A53C5C" w14:textId="77777777" w:rsidR="003722C3" w:rsidRDefault="005D718C">
      <w:pPr>
        <w:pStyle w:val="Corps"/>
      </w:pPr>
      <w:r>
        <w:rPr>
          <w:rStyle w:val="Aucun"/>
          <w:rFonts w:ascii="Georgia" w:hAnsi="Georgia"/>
          <w:sz w:val="21"/>
          <w:szCs w:val="21"/>
        </w:rPr>
        <w:t>The Federation of European Dental Competent Authorities and Regulators (FEDCAR)</w:t>
      </w:r>
    </w:p>
    <w:sectPr w:rsidR="003722C3">
      <w:headerReference w:type="even" r:id="rId14"/>
      <w:headerReference w:type="default" r:id="rId15"/>
      <w:footerReference w:type="even" r:id="rId16"/>
      <w:footerReference w:type="default" r:id="rId17"/>
      <w:headerReference w:type="first" r:id="rId18"/>
      <w:footerReference w:type="first" r:id="rId19"/>
      <w:pgSz w:w="11900" w:h="16840"/>
      <w:pgMar w:top="1800" w:right="1440" w:bottom="108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A468C" w14:textId="77777777" w:rsidR="004020A4" w:rsidRDefault="004020A4">
      <w:r>
        <w:separator/>
      </w:r>
    </w:p>
  </w:endnote>
  <w:endnote w:type="continuationSeparator" w:id="0">
    <w:p w14:paraId="15339154" w14:textId="77777777" w:rsidR="004020A4" w:rsidRDefault="00402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5127C" w14:textId="77777777" w:rsidR="00977F50" w:rsidRDefault="00977F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6F70" w14:textId="77777777" w:rsidR="003722C3" w:rsidRDefault="003722C3">
    <w:pPr>
      <w:pStyle w:val="Footer"/>
      <w:tabs>
        <w:tab w:val="clear" w:pos="9026"/>
        <w:tab w:val="right" w:pos="90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68CA" w14:textId="77777777" w:rsidR="00977F50" w:rsidRDefault="00977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884BB" w14:textId="77777777" w:rsidR="004020A4" w:rsidRDefault="004020A4">
      <w:r>
        <w:separator/>
      </w:r>
    </w:p>
  </w:footnote>
  <w:footnote w:type="continuationSeparator" w:id="0">
    <w:p w14:paraId="46F18A47" w14:textId="77777777" w:rsidR="004020A4" w:rsidRDefault="004020A4">
      <w:r>
        <w:continuationSeparator/>
      </w:r>
    </w:p>
  </w:footnote>
  <w:footnote w:type="continuationNotice" w:id="1">
    <w:p w14:paraId="691F70EA" w14:textId="77777777" w:rsidR="004020A4" w:rsidRDefault="004020A4"/>
  </w:footnote>
  <w:footnote w:id="2">
    <w:p w14:paraId="396FD5B9" w14:textId="77777777" w:rsidR="003722C3" w:rsidRDefault="005D718C">
      <w:pPr>
        <w:pStyle w:val="FootnoteText"/>
        <w:jc w:val="both"/>
      </w:pPr>
      <w:r>
        <w:rPr>
          <w:rStyle w:val="Aucun"/>
          <w:vertAlign w:val="superscript"/>
        </w:rPr>
        <w:footnoteRef/>
      </w:r>
      <w:r>
        <w:rPr>
          <w:rStyle w:val="Aucun"/>
        </w:rPr>
        <w:t xml:space="preserve"> Please see: Field J, Dixon J, Davies J, et al. (2023). O-Health-Edu: A vision for oral health professional education in Europe. </w:t>
      </w:r>
      <w:proofErr w:type="spellStart"/>
      <w:r>
        <w:rPr>
          <w:rStyle w:val="Aucun"/>
        </w:rPr>
        <w:t>Eur</w:t>
      </w:r>
      <w:proofErr w:type="spellEnd"/>
      <w:r>
        <w:rPr>
          <w:rStyle w:val="Aucun"/>
        </w:rPr>
        <w:t xml:space="preserve"> J Dent Educ. 2023; 27: 382-387. Available at: </w:t>
      </w:r>
      <w:hyperlink r:id="rId1" w:history="1">
        <w:r>
          <w:rPr>
            <w:rStyle w:val="Hyperlink0"/>
          </w:rPr>
          <w:t>https://onlinelibrary.wiley.com/doi/10.1111/eje.12819</w:t>
        </w:r>
      </w:hyperlink>
    </w:p>
  </w:footnote>
  <w:footnote w:id="3">
    <w:p w14:paraId="1266FD57" w14:textId="77777777" w:rsidR="003722C3" w:rsidRDefault="005D718C">
      <w:pPr>
        <w:pStyle w:val="FootnoteText"/>
        <w:jc w:val="both"/>
      </w:pPr>
      <w:r>
        <w:rPr>
          <w:rStyle w:val="Aucun"/>
          <w:vertAlign w:val="superscript"/>
        </w:rPr>
        <w:footnoteRef/>
      </w:r>
      <w:r>
        <w:t xml:space="preserve"> </w:t>
      </w:r>
      <w:r w:rsidRPr="00C35444">
        <w:t xml:space="preserve">Directive </w:t>
      </w:r>
      <w:r>
        <w:t xml:space="preserve">78/687 </w:t>
      </w:r>
      <w:r w:rsidRPr="00C35444">
        <w:t>of</w:t>
      </w:r>
      <w:r>
        <w:t xml:space="preserve"> 25 </w:t>
      </w:r>
      <w:r w:rsidRPr="00C35444">
        <w:t>July</w:t>
      </w:r>
      <w:r>
        <w:t xml:space="preserve"> 1978</w:t>
      </w:r>
      <w:r w:rsidRPr="00C35444">
        <w:t xml:space="preserve"> </w:t>
      </w:r>
      <w:r>
        <w:t>concerning the coordination of provisions laid down by Law, Regulation or Administrative Action in respect of the activities of dental practitioners</w:t>
      </w:r>
    </w:p>
  </w:footnote>
  <w:footnote w:id="4">
    <w:p w14:paraId="3A888187" w14:textId="77777777" w:rsidR="00626571" w:rsidRDefault="00626571" w:rsidP="00626571">
      <w:pPr>
        <w:pStyle w:val="FootnoteText"/>
        <w:jc w:val="both"/>
      </w:pPr>
      <w:r>
        <w:rPr>
          <w:rStyle w:val="Aucun"/>
          <w:vertAlign w:val="superscript"/>
        </w:rPr>
        <w:footnoteRef/>
      </w:r>
      <w:r>
        <w:rPr>
          <w:rStyle w:val="Aucun"/>
        </w:rPr>
        <w:t xml:space="preserve"> Please see: The European Dental Students’ Association (EDSA). (2024). EDSA Dental Education Survey 2024. Initial Dental Education in Europe. A </w:t>
      </w:r>
      <w:proofErr w:type="spellStart"/>
      <w:r>
        <w:rPr>
          <w:rStyle w:val="Aucun"/>
        </w:rPr>
        <w:t>Harmonisation</w:t>
      </w:r>
      <w:proofErr w:type="spellEnd"/>
      <w:r>
        <w:rPr>
          <w:rStyle w:val="Aucun"/>
        </w:rPr>
        <w:t xml:space="preserve"> in progress or Persistent Disparities? Available at </w:t>
      </w:r>
      <w:hyperlink r:id="rId2" w:history="1">
        <w:r>
          <w:rPr>
            <w:rStyle w:val="Hyperlink1"/>
          </w:rPr>
          <w:t>https://shorturl.at/u3uYF</w:t>
        </w:r>
      </w:hyperlink>
    </w:p>
  </w:footnote>
  <w:footnote w:id="5">
    <w:p w14:paraId="05E650BE" w14:textId="77777777" w:rsidR="003722C3" w:rsidRDefault="005D718C">
      <w:pPr>
        <w:pStyle w:val="FootnoteText"/>
        <w:jc w:val="both"/>
      </w:pPr>
      <w:r>
        <w:rPr>
          <w:rStyle w:val="Aucun"/>
          <w:vertAlign w:val="superscript"/>
        </w:rPr>
        <w:footnoteRef/>
      </w:r>
      <w:r>
        <w:t xml:space="preserve"> Strategic Objective 3</w:t>
      </w:r>
      <w:r w:rsidRPr="00C35444">
        <w:t xml:space="preserve"> of the WHO plan.</w:t>
      </w:r>
    </w:p>
  </w:footnote>
  <w:footnote w:id="6">
    <w:p w14:paraId="6FB438FA" w14:textId="77777777" w:rsidR="003722C3" w:rsidRDefault="005D718C">
      <w:pPr>
        <w:pStyle w:val="FootnoteText"/>
        <w:jc w:val="both"/>
      </w:pPr>
      <w:r>
        <w:rPr>
          <w:rStyle w:val="Aucun"/>
          <w:vertAlign w:val="superscript"/>
        </w:rPr>
        <w:footnoteRef/>
      </w:r>
      <w:r>
        <w:rPr>
          <w:rStyle w:val="Aucun"/>
        </w:rPr>
        <w:t xml:space="preserve"> Please see: Field J, Dixon J, Davies J, et al. (2023). O-Health-Edu: A vision for oral health professional education in Europe. </w:t>
      </w:r>
      <w:proofErr w:type="spellStart"/>
      <w:r>
        <w:rPr>
          <w:rStyle w:val="Aucun"/>
        </w:rPr>
        <w:t>Eur</w:t>
      </w:r>
      <w:proofErr w:type="spellEnd"/>
      <w:r>
        <w:rPr>
          <w:rStyle w:val="Aucun"/>
        </w:rPr>
        <w:t xml:space="preserve"> J Dent Educ. 2023; 27: 382-387. Available at: </w:t>
      </w:r>
      <w:hyperlink r:id="rId3" w:history="1">
        <w:r>
          <w:rPr>
            <w:rStyle w:val="Hyperlink0"/>
          </w:rPr>
          <w:t>https://onlinelibrary.wiley.com/doi/10.1111/eje.12819</w:t>
        </w:r>
      </w:hyperlink>
    </w:p>
  </w:footnote>
  <w:footnote w:id="7">
    <w:p w14:paraId="6FFAB23F" w14:textId="77777777" w:rsidR="003722C3" w:rsidRDefault="005D718C">
      <w:pPr>
        <w:pStyle w:val="FootnoteText"/>
      </w:pPr>
      <w:r>
        <w:rPr>
          <w:rStyle w:val="Aucun"/>
          <w:vertAlign w:val="superscript"/>
        </w:rPr>
        <w:footnoteRef/>
      </w:r>
      <w:r>
        <w:rPr>
          <w:rStyle w:val="Aucun"/>
        </w:rPr>
        <w:t xml:space="preserve"> Please see the full report of the 2025 event here: </w:t>
      </w:r>
      <w:hyperlink r:id="rId4" w:history="1">
        <w:r>
          <w:rPr>
            <w:rStyle w:val="Hyperlink1"/>
          </w:rPr>
          <w:t>https://onlinelibrary.wiley.com/doi/10.1111/eje.70028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AF29" w14:textId="77777777" w:rsidR="00977F50" w:rsidRDefault="00977F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806A" w14:textId="039B6A93" w:rsidR="00977F50" w:rsidRDefault="00977F50">
    <w:pPr>
      <w:pStyle w:val="Header"/>
      <w:tabs>
        <w:tab w:val="clear" w:pos="9026"/>
        <w:tab w:val="right" w:pos="9000"/>
      </w:tabs>
    </w:pPr>
    <w:sdt>
      <w:sdtPr>
        <w:id w:val="-1206711609"/>
        <w:docPartObj>
          <w:docPartGallery w:val="Watermarks"/>
          <w:docPartUnique/>
        </w:docPartObj>
      </w:sdtPr>
      <w:sdtContent>
        <w:r>
          <w:rPr>
            <w:noProof/>
          </w:rPr>
          <w:pict w14:anchorId="5F9DEE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D718C">
      <w:rPr>
        <w:noProof/>
      </w:rPr>
      <mc:AlternateContent>
        <mc:Choice Requires="wpg">
          <w:drawing>
            <wp:anchor distT="152400" distB="152400" distL="152400" distR="152400" simplePos="0" relativeHeight="251658240" behindDoc="1" locked="0" layoutInCell="1" allowOverlap="1" wp14:anchorId="21B86BEC" wp14:editId="3B10FFA5">
              <wp:simplePos x="0" y="0"/>
              <wp:positionH relativeFrom="page">
                <wp:posOffset>0</wp:posOffset>
              </wp:positionH>
              <wp:positionV relativeFrom="page">
                <wp:posOffset>245745</wp:posOffset>
              </wp:positionV>
              <wp:extent cx="1700784" cy="1024128"/>
              <wp:effectExtent l="0" t="0" r="0" b="0"/>
              <wp:wrapNone/>
              <wp:docPr id="1073741828" name="officeArt object" descr="Group 159"/>
              <wp:cNvGraphicFramePr/>
              <a:graphic xmlns:a="http://schemas.openxmlformats.org/drawingml/2006/main">
                <a:graphicData uri="http://schemas.microsoft.com/office/word/2010/wordprocessingGroup">
                  <wpg:wgp>
                    <wpg:cNvGrpSpPr/>
                    <wpg:grpSpPr>
                      <a:xfrm>
                        <a:off x="0" y="0"/>
                        <a:ext cx="1700784" cy="1024128"/>
                        <a:chOff x="0" y="0"/>
                        <a:chExt cx="1700783" cy="1024127"/>
                      </a:xfrm>
                    </wpg:grpSpPr>
                    <wps:wsp>
                      <wps:cNvPr id="1073741825" name="Rectangle 160"/>
                      <wps:cNvSpPr/>
                      <wps:spPr>
                        <a:xfrm>
                          <a:off x="0" y="0"/>
                          <a:ext cx="1700784" cy="1024128"/>
                        </a:xfrm>
                        <a:prstGeom prst="rect">
                          <a:avLst/>
                        </a:prstGeom>
                        <a:solidFill>
                          <a:srgbClr val="FFFFFF">
                            <a:alpha val="0"/>
                          </a:srgbClr>
                        </a:solidFill>
                        <a:ln w="12700" cap="flat">
                          <a:noFill/>
                          <a:miter lim="400000"/>
                        </a:ln>
                        <a:effectLst/>
                      </wps:spPr>
                      <wps:bodyPr/>
                    </wps:wsp>
                    <wps:wsp>
                      <wps:cNvPr id="1073741826" name="Rectangle 1"/>
                      <wps:cNvSpPr/>
                      <wps:spPr>
                        <a:xfrm>
                          <a:off x="228599" y="0"/>
                          <a:ext cx="1463041" cy="1014984"/>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13443" y="8012"/>
                              </a:lnTo>
                              <a:lnTo>
                                <a:pt x="0" y="21600"/>
                              </a:lnTo>
                              <a:lnTo>
                                <a:pt x="0" y="0"/>
                              </a:lnTo>
                              <a:close/>
                            </a:path>
                          </a:pathLst>
                        </a:custGeom>
                        <a:solidFill>
                          <a:schemeClr val="accent1"/>
                        </a:solidFill>
                        <a:ln w="12700" cap="flat">
                          <a:noFill/>
                          <a:miter lim="400000"/>
                        </a:ln>
                        <a:effectLst/>
                      </wps:spPr>
                      <wps:bodyPr/>
                    </wps:wsp>
                    <wps:wsp>
                      <wps:cNvPr id="1073741827" name="Rectangle 162"/>
                      <wps:cNvSpPr/>
                      <wps:spPr>
                        <a:xfrm>
                          <a:off x="228600" y="0"/>
                          <a:ext cx="1472185" cy="1024128"/>
                        </a:xfrm>
                        <a:prstGeom prst="rect">
                          <a:avLst/>
                        </a:prstGeom>
                        <a:blipFill rotWithShape="1">
                          <a:blip r:embed="rId1"/>
                          <a:srcRect/>
                          <a:stretch>
                            <a:fillRect/>
                          </a:stretch>
                        </a:blipFill>
                        <a:ln w="12700" cap="flat">
                          <a:noFill/>
                          <a:miter lim="400000"/>
                        </a:ln>
                        <a:effectLst/>
                      </wps:spPr>
                      <wps:bodyPr/>
                    </wps:wsp>
                  </wpg:wgp>
                </a:graphicData>
              </a:graphic>
            </wp:anchor>
          </w:drawing>
        </mc:Choice>
        <mc:Fallback>
          <w:pict>
            <v:group id="_x0000_s1026" style="visibility:visible;position:absolute;margin-left:0.0pt;margin-top:19.4pt;width:133.9pt;height:80.6pt;z-index:-251658240;mso-position-horizontal:absolute;mso-position-horizontal-relative:page;mso-position-vertical:absolute;mso-position-vertical-relative:page;mso-wrap-distance-left:12.0pt;mso-wrap-distance-top:12.0pt;mso-wrap-distance-right:12.0pt;mso-wrap-distance-bottom:12.0pt;" coordorigin="0,0" coordsize="1700784,1024128">
              <w10:wrap type="none" side="bothSides" anchorx="page" anchory="page"/>
              <v:rect id="_x0000_s1027" style="position:absolute;left:0;top:0;width:1700784;height:1024128;">
                <v:fill color="#FFFFFF" opacity="0.0%" type="solid"/>
                <v:stroke on="f" weight="1.0pt" dashstyle="solid" endcap="flat" miterlimit="400.0%" joinstyle="miter" linestyle="single" startarrow="none" startarrowwidth="medium" startarrowlength="medium" endarrow="none" endarrowwidth="medium" endarrowlength="medium"/>
              </v:rect>
              <v:shape id="_x0000_s1028" style="position:absolute;left:228600;top:0;width:1463040;height:1014984;" coordorigin="0,0" coordsize="21600,21600" path="M 0,0 L 21600,0 L 13443,8012 L 0,21600 L 0,0 X E">
                <v:fill color="#156082" opacity="100.0%" type="solid"/>
                <v:stroke on="f" weight="1.0pt" dashstyle="solid" endcap="flat" miterlimit="400.0%" joinstyle="miter" linestyle="single" startarrow="none" startarrowwidth="medium" startarrowlength="medium" endarrow="none" endarrowwidth="medium" endarrowlength="medium"/>
              </v:shape>
              <v:rect id="_x0000_s1029" style="position:absolute;left:228600;top:0;width:1472184;height:1024128;">
                <v:fill r:id="rId2" o:title="image8.png" rotate="t" type="frame"/>
                <v:stroke on="f" weight="1.0pt" dashstyle="solid" endcap="flat" miterlimit="400.0%" joinstyle="miter" linestyle="single" startarrow="none" startarrowwidth="medium" startarrowlength="medium" endarrow="none" endarrowwidth="medium" endarrowlength="medium"/>
              </v:rect>
            </v:group>
          </w:pict>
        </mc:Fallback>
      </mc:AlternateContent>
    </w:r>
    <w:r w:rsidR="005D718C">
      <w:rPr>
        <w:noProof/>
      </w:rPr>
      <w:drawing>
        <wp:anchor distT="152400" distB="152400" distL="152400" distR="152400" simplePos="0" relativeHeight="251659264" behindDoc="1" locked="0" layoutInCell="1" allowOverlap="1" wp14:anchorId="162C3EA7" wp14:editId="3A6C3AC0">
          <wp:simplePos x="0" y="0"/>
          <wp:positionH relativeFrom="page">
            <wp:posOffset>5925134</wp:posOffset>
          </wp:positionH>
          <wp:positionV relativeFrom="page">
            <wp:posOffset>139014</wp:posOffset>
          </wp:positionV>
          <wp:extent cx="1104595" cy="1104595"/>
          <wp:effectExtent l="0" t="0" r="0" b="0"/>
          <wp:wrapNone/>
          <wp:docPr id="1073741829" name="officeArt object" descr="Picture 9"/>
          <wp:cNvGraphicFramePr/>
          <a:graphic xmlns:a="http://schemas.openxmlformats.org/drawingml/2006/main">
            <a:graphicData uri="http://schemas.openxmlformats.org/drawingml/2006/picture">
              <pic:pic xmlns:pic="http://schemas.openxmlformats.org/drawingml/2006/picture">
                <pic:nvPicPr>
                  <pic:cNvPr id="1073741829" name="Picture 9" descr="Picture 9"/>
                  <pic:cNvPicPr>
                    <a:picLocks noChangeAspect="1"/>
                  </pic:cNvPicPr>
                </pic:nvPicPr>
                <pic:blipFill>
                  <a:blip r:embed="rId3"/>
                  <a:stretch>
                    <a:fillRect/>
                  </a:stretch>
                </pic:blipFill>
                <pic:spPr>
                  <a:xfrm>
                    <a:off x="0" y="0"/>
                    <a:ext cx="1104595" cy="1104595"/>
                  </a:xfrm>
                  <a:prstGeom prst="rect">
                    <a:avLst/>
                  </a:prstGeom>
                  <a:ln w="12700" cap="flat">
                    <a:noFill/>
                    <a:miter lim="400000"/>
                  </a:ln>
                  <a:effectLst/>
                </pic:spPr>
              </pic:pic>
            </a:graphicData>
          </a:graphic>
        </wp:anchor>
      </w:drawing>
    </w:r>
    <w:r w:rsidR="005D718C">
      <w:rPr>
        <w:noProof/>
      </w:rPr>
      <mc:AlternateContent>
        <mc:Choice Requires="wpg">
          <w:drawing>
            <wp:anchor distT="152400" distB="152400" distL="152400" distR="152400" simplePos="0" relativeHeight="251660288" behindDoc="1" locked="0" layoutInCell="1" allowOverlap="1" wp14:anchorId="6516A66C" wp14:editId="30FB72CC">
              <wp:simplePos x="0" y="0"/>
              <wp:positionH relativeFrom="page">
                <wp:posOffset>5859526</wp:posOffset>
              </wp:positionH>
              <wp:positionV relativeFrom="page">
                <wp:posOffset>9464923</wp:posOffset>
              </wp:positionV>
              <wp:extent cx="1700784" cy="1024129"/>
              <wp:effectExtent l="0" t="0" r="0" b="0"/>
              <wp:wrapNone/>
              <wp:docPr id="1073741833" name="officeArt object" descr="Group 1864534475"/>
              <wp:cNvGraphicFramePr/>
              <a:graphic xmlns:a="http://schemas.openxmlformats.org/drawingml/2006/main">
                <a:graphicData uri="http://schemas.microsoft.com/office/word/2010/wordprocessingGroup">
                  <wpg:wgp>
                    <wpg:cNvGrpSpPr/>
                    <wpg:grpSpPr>
                      <a:xfrm>
                        <a:off x="0" y="0"/>
                        <a:ext cx="1700784" cy="1024129"/>
                        <a:chOff x="0" y="0"/>
                        <a:chExt cx="1700784" cy="1024128"/>
                      </a:xfrm>
                    </wpg:grpSpPr>
                    <wps:wsp>
                      <wps:cNvPr id="1073741830" name="Rectangle 1482786817"/>
                      <wps:cNvSpPr/>
                      <wps:spPr>
                        <a:xfrm rot="10800000">
                          <a:off x="0" y="-1"/>
                          <a:ext cx="1700784" cy="1024129"/>
                        </a:xfrm>
                        <a:prstGeom prst="rect">
                          <a:avLst/>
                        </a:prstGeom>
                        <a:solidFill>
                          <a:srgbClr val="FFFFFF">
                            <a:alpha val="0"/>
                          </a:srgbClr>
                        </a:solidFill>
                        <a:ln w="12700" cap="flat">
                          <a:noFill/>
                          <a:miter lim="400000"/>
                        </a:ln>
                        <a:effectLst/>
                      </wps:spPr>
                      <wps:bodyPr/>
                    </wps:wsp>
                    <wps:wsp>
                      <wps:cNvPr id="1073741831" name="Rectangle 1"/>
                      <wps:cNvSpPr/>
                      <wps:spPr>
                        <a:xfrm rot="10800000">
                          <a:off x="9144" y="9144"/>
                          <a:ext cx="1463041" cy="1014984"/>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13443" y="8012"/>
                              </a:lnTo>
                              <a:lnTo>
                                <a:pt x="0" y="21600"/>
                              </a:lnTo>
                              <a:lnTo>
                                <a:pt x="0" y="0"/>
                              </a:lnTo>
                              <a:close/>
                            </a:path>
                          </a:pathLst>
                        </a:custGeom>
                        <a:solidFill>
                          <a:schemeClr val="accent1"/>
                        </a:solidFill>
                        <a:ln w="12700" cap="flat">
                          <a:noFill/>
                          <a:miter lim="400000"/>
                        </a:ln>
                        <a:effectLst/>
                      </wps:spPr>
                      <wps:bodyPr/>
                    </wps:wsp>
                    <wps:wsp>
                      <wps:cNvPr id="1073741832" name="Rectangle 1303874500"/>
                      <wps:cNvSpPr/>
                      <wps:spPr>
                        <a:xfrm rot="10800000">
                          <a:off x="0" y="-1"/>
                          <a:ext cx="1472184" cy="1024129"/>
                        </a:xfrm>
                        <a:prstGeom prst="rect">
                          <a:avLst/>
                        </a:prstGeom>
                        <a:blipFill rotWithShape="1">
                          <a:blip r:embed="rId1"/>
                          <a:srcRect/>
                          <a:stretch>
                            <a:fillRect/>
                          </a:stretch>
                        </a:blipFill>
                        <a:ln w="12700" cap="flat">
                          <a:noFill/>
                          <a:miter lim="400000"/>
                        </a:ln>
                        <a:effectLst/>
                      </wps:spPr>
                      <wps:bodyPr/>
                    </wps:wsp>
                  </wpg:wgp>
                </a:graphicData>
              </a:graphic>
            </wp:anchor>
          </w:drawing>
        </mc:Choice>
        <mc:Fallback>
          <w:pict>
            <v:group id="_x0000_s1030" style="visibility:visible;position:absolute;margin-left:461.4pt;margin-top:745.3pt;width:133.9pt;height:80.6pt;z-index:-251656192;mso-position-horizontal:absolute;mso-position-horizontal-relative:page;mso-position-vertical:absolute;mso-position-vertical-relative:page;mso-wrap-distance-left:12.0pt;mso-wrap-distance-top:12.0pt;mso-wrap-distance-right:12.0pt;mso-wrap-distance-bottom:12.0pt;" coordorigin="0,0" coordsize="1700784,1024128">
              <w10:wrap type="none" side="bothSides" anchorx="page" anchory="page"/>
              <v:rect id="_x0000_s1031" style="position:absolute;left:0;top:0;width:1700784;height:1024128;rotation:11796480fd;">
                <v:fill color="#FFFFFF" opacity="0.0%" type="solid"/>
                <v:stroke on="f" weight="1.0pt" dashstyle="solid" endcap="flat" miterlimit="400.0%" joinstyle="miter" linestyle="single" startarrow="none" startarrowwidth="medium" startarrowlength="medium" endarrow="none" endarrowwidth="medium" endarrowlength="medium"/>
              </v:rect>
              <v:shape id="_x0000_s1032" style="position:absolute;left:9144;top:9144;width:1463040;height:1014984;rotation:11796480fd;" coordorigin="0,0" coordsize="21600,21600" path="M 0,0 L 21600,0 L 13443,8012 L 0,21600 L 0,0 X E">
                <v:fill color="#156082" opacity="100.0%" type="solid"/>
                <v:stroke on="f" weight="1.0pt" dashstyle="solid" endcap="flat" miterlimit="400.0%" joinstyle="miter" linestyle="single" startarrow="none" startarrowwidth="medium" startarrowlength="medium" endarrow="none" endarrowwidth="medium" endarrowlength="medium"/>
              </v:shape>
              <v:rect id="_x0000_s1033" style="position:absolute;left:0;top:0;width:1472184;height:1024128;rotation:11796480fd;">
                <v:fill r:id="rId2" o:title="image8.png" rotate="t" type="frame"/>
                <v:stroke on="f" weight="1.0pt" dashstyle="solid" endcap="flat" miterlimit="400.0%" joinstyle="miter" linestyle="single" startarrow="none" startarrowwidth="medium" startarrowlength="medium" endarrow="none" endarrowwidth="medium" endarrowlength="medium"/>
              </v:rect>
            </v:group>
          </w:pict>
        </mc:Fallback>
      </mc:AlternateContent>
    </w:r>
    <w:r>
      <w:tab/>
    </w:r>
  </w:p>
  <w:p w14:paraId="2AFEB5BF" w14:textId="3D5B3A19" w:rsidR="003722C3" w:rsidRPr="00977F50" w:rsidRDefault="00977F50">
    <w:pPr>
      <w:pStyle w:val="Header"/>
      <w:tabs>
        <w:tab w:val="clear" w:pos="9026"/>
        <w:tab w:val="right" w:pos="9000"/>
      </w:tabs>
      <w:rPr>
        <w:b/>
        <w:bCs/>
      </w:rPr>
    </w:pPr>
    <w:r>
      <w:tab/>
    </w:r>
    <w:r w:rsidRPr="00977F50">
      <w:rPr>
        <w:b/>
        <w:bCs/>
      </w:rPr>
      <w:t>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B424" w14:textId="77777777" w:rsidR="00977F50" w:rsidRDefault="00977F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17FD3"/>
    <w:multiLevelType w:val="hybridMultilevel"/>
    <w:tmpl w:val="49A6B1E8"/>
    <w:lvl w:ilvl="0" w:tplc="BEB486F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469D2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0F89BD0">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7241B9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A2F40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9FCF19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4F4804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C02A1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7B62ED8">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9E65ED"/>
    <w:multiLevelType w:val="hybridMultilevel"/>
    <w:tmpl w:val="0A3ABB68"/>
    <w:numStyleLink w:val="Style1import"/>
  </w:abstractNum>
  <w:abstractNum w:abstractNumId="2" w15:restartNumberingAfterBreak="0">
    <w:nsid w:val="39135D74"/>
    <w:multiLevelType w:val="hybridMultilevel"/>
    <w:tmpl w:val="0A3ABB68"/>
    <w:styleLink w:val="Style1import"/>
    <w:lvl w:ilvl="0" w:tplc="098811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4DE242C">
      <w:start w:val="1"/>
      <w:numFmt w:val="bullet"/>
      <w:lvlText w:val="o"/>
      <w:lvlJc w:val="left"/>
      <w:pPr>
        <w:ind w:left="1395" w:hanging="3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980CF8">
      <w:start w:val="1"/>
      <w:numFmt w:val="bullet"/>
      <w:lvlText w:val="▪"/>
      <w:lvlJc w:val="left"/>
      <w:pPr>
        <w:ind w:left="2115" w:hanging="3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42894E">
      <w:start w:val="1"/>
      <w:numFmt w:val="bullet"/>
      <w:lvlText w:val="·"/>
      <w:lvlJc w:val="left"/>
      <w:pPr>
        <w:ind w:left="2835" w:hanging="31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C32E38E">
      <w:start w:val="1"/>
      <w:numFmt w:val="bullet"/>
      <w:lvlText w:val="o"/>
      <w:lvlJc w:val="left"/>
      <w:pPr>
        <w:ind w:left="3555" w:hanging="3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7C7A68">
      <w:start w:val="1"/>
      <w:numFmt w:val="bullet"/>
      <w:lvlText w:val="▪"/>
      <w:lvlJc w:val="left"/>
      <w:pPr>
        <w:ind w:left="4275" w:hanging="3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C25A5E">
      <w:start w:val="1"/>
      <w:numFmt w:val="bullet"/>
      <w:lvlText w:val="·"/>
      <w:lvlJc w:val="left"/>
      <w:pPr>
        <w:ind w:left="4995" w:hanging="31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70CC28">
      <w:start w:val="1"/>
      <w:numFmt w:val="bullet"/>
      <w:lvlText w:val="o"/>
      <w:lvlJc w:val="left"/>
      <w:pPr>
        <w:ind w:left="5715" w:hanging="3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978B07E">
      <w:start w:val="1"/>
      <w:numFmt w:val="bullet"/>
      <w:lvlText w:val="▪"/>
      <w:lvlJc w:val="left"/>
      <w:pPr>
        <w:ind w:left="6435" w:hanging="3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8EE71A7"/>
    <w:multiLevelType w:val="hybridMultilevel"/>
    <w:tmpl w:val="0A3ABB68"/>
    <w:numStyleLink w:val="Style1import"/>
  </w:abstractNum>
  <w:abstractNum w:abstractNumId="4" w15:restartNumberingAfterBreak="0">
    <w:nsid w:val="5AFA6A6D"/>
    <w:multiLevelType w:val="hybridMultilevel"/>
    <w:tmpl w:val="2916B390"/>
    <w:lvl w:ilvl="0" w:tplc="15A0DD9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CDC3BE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94AA0A">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2D8B34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29242E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FD87762">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86A18B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F8C9D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13274F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943154300">
    <w:abstractNumId w:val="4"/>
  </w:num>
  <w:num w:numId="2" w16cid:durableId="730420203">
    <w:abstractNumId w:val="2"/>
  </w:num>
  <w:num w:numId="3" w16cid:durableId="1072434919">
    <w:abstractNumId w:val="3"/>
  </w:num>
  <w:num w:numId="4" w16cid:durableId="309098449">
    <w:abstractNumId w:val="0"/>
  </w:num>
  <w:num w:numId="5" w16cid:durableId="1670257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2C3"/>
    <w:rsid w:val="000B14AE"/>
    <w:rsid w:val="001556CC"/>
    <w:rsid w:val="001C44AB"/>
    <w:rsid w:val="001E3899"/>
    <w:rsid w:val="002378E3"/>
    <w:rsid w:val="00252BEE"/>
    <w:rsid w:val="002A3D2D"/>
    <w:rsid w:val="003150B8"/>
    <w:rsid w:val="003722C3"/>
    <w:rsid w:val="003D1850"/>
    <w:rsid w:val="004020A4"/>
    <w:rsid w:val="00406B0A"/>
    <w:rsid w:val="00566410"/>
    <w:rsid w:val="005D718C"/>
    <w:rsid w:val="00626571"/>
    <w:rsid w:val="0066189A"/>
    <w:rsid w:val="006855CD"/>
    <w:rsid w:val="00693598"/>
    <w:rsid w:val="006F30A3"/>
    <w:rsid w:val="007326DD"/>
    <w:rsid w:val="00765C51"/>
    <w:rsid w:val="007A2A1D"/>
    <w:rsid w:val="007B06A1"/>
    <w:rsid w:val="008E31CD"/>
    <w:rsid w:val="0093630E"/>
    <w:rsid w:val="009553A9"/>
    <w:rsid w:val="00977F50"/>
    <w:rsid w:val="009A4BB2"/>
    <w:rsid w:val="009A7CED"/>
    <w:rsid w:val="009D438C"/>
    <w:rsid w:val="009E74BB"/>
    <w:rsid w:val="00A953E2"/>
    <w:rsid w:val="00B77912"/>
    <w:rsid w:val="00C35444"/>
    <w:rsid w:val="00C641E8"/>
    <w:rsid w:val="00CE6B6C"/>
    <w:rsid w:val="00DA21AB"/>
    <w:rsid w:val="00DC6955"/>
    <w:rsid w:val="00EA3316"/>
    <w:rsid w:val="00F0147D"/>
    <w:rsid w:val="00F94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2B1"/>
  <w15:docId w15:val="{0C1AC1D3-1A4F-49E5-862E-CA5AF154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Aptos" w:eastAsia="Aptos" w:hAnsi="Aptos" w:cs="Aptos"/>
      <w:color w:val="000000"/>
      <w:kern w:val="2"/>
      <w:sz w:val="24"/>
      <w:szCs w:val="24"/>
      <w:u w:color="000000"/>
      <w:lang w:val="en-US"/>
    </w:rPr>
  </w:style>
  <w:style w:type="paragraph" w:styleId="Footer">
    <w:name w:val="footer"/>
    <w:pPr>
      <w:tabs>
        <w:tab w:val="center" w:pos="4513"/>
        <w:tab w:val="right" w:pos="9026"/>
      </w:tabs>
    </w:pPr>
    <w:rPr>
      <w:rFonts w:ascii="Aptos" w:eastAsia="Aptos" w:hAnsi="Aptos" w:cs="Aptos"/>
      <w:color w:val="000000"/>
      <w:kern w:val="2"/>
      <w:sz w:val="24"/>
      <w:szCs w:val="24"/>
      <w:u w:color="000000"/>
      <w:lang w:val="en-US"/>
    </w:rPr>
  </w:style>
  <w:style w:type="paragraph" w:customStyle="1" w:styleId="Corps">
    <w:name w:val="Corps"/>
    <w:pPr>
      <w:spacing w:after="160" w:line="278" w:lineRule="auto"/>
    </w:pPr>
    <w:rPr>
      <w:rFonts w:ascii="Aptos" w:eastAsia="Aptos" w:hAnsi="Aptos" w:cs="Aptos"/>
      <w:color w:val="000000"/>
      <w:kern w:val="2"/>
      <w:sz w:val="24"/>
      <w:szCs w:val="24"/>
      <w:u w:color="000000"/>
      <w14:textOutline w14:w="0" w14:cap="flat" w14:cmpd="sng" w14:algn="ctr">
        <w14:noFill/>
        <w14:prstDash w14:val="solid"/>
        <w14:bevel/>
      </w14:textOutline>
    </w:rPr>
  </w:style>
  <w:style w:type="paragraph" w:customStyle="1" w:styleId="Titre2">
    <w:name w:val="Titre 2"/>
    <w:next w:val="Corps"/>
    <w:pPr>
      <w:keepNext/>
      <w:keepLines/>
      <w:spacing w:before="160" w:after="80" w:line="278" w:lineRule="auto"/>
      <w:outlineLvl w:val="1"/>
    </w:pPr>
    <w:rPr>
      <w:rFonts w:ascii="Aptos Display" w:eastAsia="Aptos Display" w:hAnsi="Aptos Display" w:cs="Aptos Display"/>
      <w:color w:val="0F4761"/>
      <w:kern w:val="2"/>
      <w:sz w:val="32"/>
      <w:szCs w:val="32"/>
      <w:u w:color="0F4761"/>
      <w:lang w:val="en-US"/>
      <w14:textOutline w14:w="0" w14:cap="flat" w14:cmpd="sng" w14:algn="ctr">
        <w14:noFill/>
        <w14:prstDash w14:val="solid"/>
        <w14:bevel/>
      </w14:textOutline>
    </w:rPr>
  </w:style>
  <w:style w:type="character" w:customStyle="1" w:styleId="Aucun">
    <w:name w:val="Aucun"/>
    <w:rPr>
      <w:lang w:val="en-US"/>
    </w:rPr>
  </w:style>
  <w:style w:type="paragraph" w:styleId="FootnoteText">
    <w:name w:val="footnote text"/>
    <w:rPr>
      <w:rFonts w:ascii="Aptos" w:eastAsia="Aptos" w:hAnsi="Aptos" w:cs="Aptos"/>
      <w:color w:val="000000"/>
      <w:kern w:val="2"/>
      <w:u w:color="000000"/>
      <w:lang w:val="en-US"/>
    </w:rPr>
  </w:style>
  <w:style w:type="character" w:customStyle="1" w:styleId="Hyperlink0">
    <w:name w:val="Hyperlink.0"/>
    <w:basedOn w:val="Hyperlink"/>
    <w:rPr>
      <w:outline w:val="0"/>
      <w:color w:val="467886"/>
      <w:u w:val="single" w:color="467886"/>
    </w:rPr>
  </w:style>
  <w:style w:type="character" w:customStyle="1" w:styleId="Hyperlink1">
    <w:name w:val="Hyperlink.1"/>
    <w:basedOn w:val="Hyperlink0"/>
    <w:rPr>
      <w:outline w:val="0"/>
      <w:color w:val="467886"/>
      <w:u w:val="single" w:color="467886"/>
      <w:lang w:val="en-US"/>
    </w:rPr>
  </w:style>
  <w:style w:type="paragraph" w:styleId="ListParagraph">
    <w:name w:val="List Paragraph"/>
    <w:pPr>
      <w:spacing w:after="160" w:line="278" w:lineRule="auto"/>
      <w:ind w:left="720"/>
    </w:pPr>
    <w:rPr>
      <w:rFonts w:ascii="Aptos" w:eastAsia="Aptos" w:hAnsi="Aptos" w:cs="Aptos"/>
      <w:color w:val="000000"/>
      <w:kern w:val="2"/>
      <w:sz w:val="24"/>
      <w:szCs w:val="24"/>
      <w:u w:color="000000"/>
      <w:lang w:val="en-US"/>
    </w:rPr>
  </w:style>
  <w:style w:type="numbering" w:customStyle="1" w:styleId="Style1import">
    <w:name w:val="Style 1 importé"/>
    <w:pPr>
      <w:numPr>
        <w:numId w:val="2"/>
      </w:numPr>
    </w:pPr>
  </w:style>
  <w:style w:type="paragraph" w:styleId="Revision">
    <w:name w:val="Revision"/>
    <w:hidden/>
    <w:uiPriority w:val="99"/>
    <w:semiHidden/>
    <w:rsid w:val="006265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CommentReference">
    <w:name w:val="annotation reference"/>
    <w:basedOn w:val="DefaultParagraphFont"/>
    <w:uiPriority w:val="99"/>
    <w:semiHidden/>
    <w:unhideWhenUsed/>
    <w:rsid w:val="007326DD"/>
    <w:rPr>
      <w:sz w:val="16"/>
      <w:szCs w:val="16"/>
    </w:rPr>
  </w:style>
  <w:style w:type="paragraph" w:styleId="CommentText">
    <w:name w:val="annotation text"/>
    <w:basedOn w:val="Normal"/>
    <w:link w:val="CommentTextChar"/>
    <w:uiPriority w:val="99"/>
    <w:unhideWhenUsed/>
    <w:rsid w:val="007326DD"/>
    <w:rPr>
      <w:sz w:val="20"/>
      <w:szCs w:val="20"/>
    </w:rPr>
  </w:style>
  <w:style w:type="character" w:customStyle="1" w:styleId="CommentTextChar">
    <w:name w:val="Comment Text Char"/>
    <w:basedOn w:val="DefaultParagraphFont"/>
    <w:link w:val="CommentText"/>
    <w:uiPriority w:val="99"/>
    <w:rsid w:val="007326DD"/>
    <w:rPr>
      <w:lang w:val="en-US" w:eastAsia="en-US"/>
    </w:rPr>
  </w:style>
  <w:style w:type="paragraph" w:styleId="CommentSubject">
    <w:name w:val="annotation subject"/>
    <w:basedOn w:val="CommentText"/>
    <w:next w:val="CommentText"/>
    <w:link w:val="CommentSubjectChar"/>
    <w:uiPriority w:val="99"/>
    <w:semiHidden/>
    <w:unhideWhenUsed/>
    <w:rsid w:val="007326DD"/>
    <w:rPr>
      <w:b/>
      <w:bCs/>
    </w:rPr>
  </w:style>
  <w:style w:type="character" w:customStyle="1" w:styleId="CommentSubjectChar">
    <w:name w:val="Comment Subject Char"/>
    <w:basedOn w:val="CommentTextChar"/>
    <w:link w:val="CommentSubject"/>
    <w:uiPriority w:val="99"/>
    <w:semiHidden/>
    <w:rsid w:val="007326D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dee.org/graduating-european-dentist" TargetMode="Externa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onlinelibrary.wiley.com/doi/10.1111/eje.12819" TargetMode="External"/><Relationship Id="rId2" Type="http://schemas.openxmlformats.org/officeDocument/2006/relationships/hyperlink" Target="https://shorturl.at/u3uYF" TargetMode="External"/><Relationship Id="rId1" Type="http://schemas.openxmlformats.org/officeDocument/2006/relationships/hyperlink" Target="https://onlinelibrary.wiley.com/doi/10.1111/eje.12819" TargetMode="External"/><Relationship Id="rId4" Type="http://schemas.openxmlformats.org/officeDocument/2006/relationships/hyperlink" Target="https://onlinelibrary.wiley.com/doi/10.1111/eje.70028"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50.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Field</dc:creator>
  <cp:lastModifiedBy>Clara Luciani</cp:lastModifiedBy>
  <cp:revision>4</cp:revision>
  <dcterms:created xsi:type="dcterms:W3CDTF">2026-02-24T13:40:00Z</dcterms:created>
  <dcterms:modified xsi:type="dcterms:W3CDTF">2026-03-09T10:50:00Z</dcterms:modified>
</cp:coreProperties>
</file>